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8640"/>
      </w:tblGrid>
      <w:tr>
        <w:tc>
          <w:tcPr>
            <w:tcW w:type="dxa" w:w="8640"/>
            <w:shd w:val="clear" w:color="auto" w:fill="1A1A2E"/>
            <w:tcBorders>
              <w:top w:val="single" w:sz="0" w:space="0" w:color="1A1A2E"/>
              <w:left w:val="single" w:sz="0" w:space="0" w:color="1A1A2E"/>
              <w:bottom w:val="single" w:sz="0" w:space="0" w:color="1A1A2E"/>
              <w:right w:val="single" w:sz="0" w:space="0" w:color="1A1A2E"/>
            </w:tcBorders>
          </w:tcPr>
          <w:p>
            <w:r>
              <w:rPr>
                <w:sz w:val="20"/>
              </w:rPr>
              <w:t xml:space="preserve">  </w:t>
            </w:r>
          </w:p>
        </w:tc>
      </w:tr>
    </w:tbl>
    <w:tbl>
      <w:tblPr>
        <w:tblW w:type="auto" w:w="0"/>
        <w:tblLook w:firstColumn="1" w:firstRow="1" w:lastColumn="0" w:lastRow="0" w:noHBand="0" w:noVBand="1" w:val="04A0"/>
      </w:tblPr>
      <w:tblGrid>
        <w:gridCol w:w="8640"/>
      </w:tblGrid>
      <w:tr>
        <w:tc>
          <w:tcPr>
            <w:tcW w:type="dxa" w:w="8640"/>
            <w:shd w:val="clear" w:color="auto" w:fill="B91C1C"/>
            <w:tcBorders>
              <w:top w:val="single" w:sz="0" w:space="0" w:color="B91C1C"/>
              <w:left w:val="single" w:sz="0" w:space="0" w:color="B91C1C"/>
              <w:bottom w:val="single" w:sz="0" w:space="0" w:color="B91C1C"/>
              <w:right w:val="single" w:sz="0" w:space="0" w:color="B91C1C"/>
            </w:tcBorders>
          </w:tcPr>
          <w:p>
            <w:r>
              <w:rPr>
                <w:sz w:val="4"/>
              </w:rPr>
              <w:t xml:space="preserve"> </w:t>
            </w:r>
          </w:p>
        </w:tc>
      </w:tr>
    </w:tbl>
    <w:p/>
    <w:p/>
    <w:p/>
    <w:p/>
    <w:p>
      <w:pPr>
        <w:spacing w:after="160"/>
        <w:jc w:val="left"/>
      </w:pPr>
      <w:r>
        <w:rPr>
          <w:rFonts w:ascii="Times New Roman" w:hAnsi="Times New Roman"/>
          <w:b/>
          <w:color w:val="B91C1C"/>
          <w:sz w:val="18"/>
        </w:rPr>
        <w:t>RESEARCH</w:t>
      </w:r>
    </w:p>
    <w:p>
      <w:pPr>
        <w:spacing w:after="200"/>
        <w:jc w:val="left"/>
        <w:bidi w:val="1"/>
      </w:pPr>
      <w:r>
        <w:rPr>
          <w:rFonts w:ascii="Times New Roman" w:hAnsi="Times New Roman"/>
          <w:b/>
          <w:color w:val="1A1A2E"/>
          <w:sz w:val="60"/>
          <w:rtl w:val="1"/>
        </w:rPr>
        <w:t>الذكاء الاصطناعي ولغة الإشارة الجزائرية: نحو نمذجة حاسوبية للغة منخفضة الموارد في سياق الإدماج الرقمي الشامل</w:t>
      </w:r>
    </w:p>
    <w:p>
      <w:pPr>
        <w:pBdr>
          <w:bottom w:val="single" w:sz="18" w:space="1" w:color="B91C1C"/>
        </w:pBdr>
        <w:spacing w:after="280"/>
      </w:pPr>
    </w:p>
    <w:p>
      <w:pPr>
        <w:spacing w:after="360"/>
        <w:jc w:val="left"/>
        <w:bidi w:val="1"/>
      </w:pPr>
      <w:r>
        <w:rPr>
          <w:rFonts w:ascii="Times New Roman" w:hAnsi="Times New Roman"/>
          <w:color w:val="16213E"/>
          <w:sz w:val="26"/>
          <w:rtl w:val="1"/>
        </w:rPr>
        <w:t>مداخلة علمية منهجية — دراسة تحليلية للواقع والرهانات وآفاق البحث (مراجعة الأدبيات 2018–2026)</w:t>
      </w:r>
    </w:p>
    <w:p>
      <w:pPr>
        <w:jc w:val="left"/>
      </w:pPr>
      <w:r>
        <w:rPr>
          <w:rFonts w:ascii="Times New Roman" w:hAnsi="Times New Roman"/>
          <w:color w:val="64748B"/>
          <w:sz w:val="20"/>
        </w:rPr>
        <w:t>2026-09-04</w:t>
      </w:r>
    </w:p>
    <w:p>
      <w:r>
        <w:br w:type="page"/>
      </w:r>
    </w:p>
    <w:p>
      <w:pPr>
        <w:spacing w:after="160" w:line="276" w:lineRule="auto"/>
        <w:jc w:val="right"/>
        <w:bidi w:val="1"/>
      </w:pPr>
      <w:r>
        <w:rPr>
          <w:rFonts w:ascii="Times New Roman" w:hAnsi="Times New Roman"/>
          <w:color w:val="1A1A2E"/>
          <w:sz w:val="22"/>
          <w:rtl w:val="1"/>
        </w:rPr>
        <w:t>تُمهيد: تُعَدّ هذه الورقة مداخلةً علمية منهجيةً تُقدَّم في إطار فعالية أكاديمية حول الذكاء الاصطناعي والإعاقة السمعية، وهي مبنية على مراجعة تحليلية للأدبيات والمدوّنات والبحوث المنشورة حول لغة الإشارة الجزائرية بين سنتي 2018 و2026، مع استقراءٍ مقارنٍ للتجارب الدولية الرائدة. صِيغت بأسلوب أكاديمي يلتزم بقواعد التوثيق والمنهجية، مع الإشارة في المتن إلى المصادر الموثَّقة بقائمة مراجع ختامية.</w:t>
      </w:r>
    </w:p>
    <w:p>
      <w:pPr>
        <w:pStyle w:val="Heading1"/>
        <w:spacing w:before="360" w:after="160"/>
        <w:jc w:val="right"/>
        <w:keepNext/>
        <w:bidi w:val="1"/>
        <w:pBdr>
          <w:bottom w:val="single" w:sz="12" w:space="6" w:color="B91C1C"/>
        </w:pBdr>
      </w:pPr>
      <w:r>
        <w:rPr>
          <w:rFonts w:ascii="Times New Roman" w:hAnsi="Times New Roman"/>
          <w:b/>
          <w:color w:val="1A1A2E"/>
          <w:sz w:val="44"/>
          <w:rtl w:val="1"/>
        </w:rPr>
        <w:t>1. مدخل عام: الذكاء الاصطناعي ولغات الإشارة في سياق الإدماج الرقمي</w:t>
      </w:r>
    </w:p>
    <w:p>
      <w:pPr>
        <w:spacing w:after="160" w:line="276" w:lineRule="auto"/>
        <w:jc w:val="right"/>
        <w:bidi w:val="1"/>
      </w:pPr>
      <w:r>
        <w:rPr>
          <w:rFonts w:ascii="Times New Roman" w:hAnsi="Times New Roman"/>
          <w:color w:val="1A1A2E"/>
          <w:sz w:val="22"/>
          <w:rtl w:val="1"/>
        </w:rPr>
        <w:t>يشهد العالم منذ مطلع العقد الحالي تسارعاً غير مسبوق في تطبيقات الذكاء الاصطناعي، من الرؤية الحاسوبية إلى النماذج اللغوية الكبرى التوليدية، حتى صار هذا الحقل محركاً رئيساً لسياسات التحول الرقمي في معظم الدول. إلا أن هذه الثورة التقنية لا توزّع منافعها توزيعاً عادلاً على اللغات والثقافات؛ فالاهتمام الخوارزمي يتركَّز في اللغات عالية الموارد كالإنجليزية، بينما تظل اللغات منخفضة الموارد — ومنها لغات الإشارة في العالم العربي عموماً والجزائر خصوصاً — في ذيل قائمة الأولويات البحثية (Blasi et al., 2022). وتكتسي هذه المسألة بُعداً إنسانياً وحقوقياً: كيف يمكن للذكاء الاصطناعي أن يكون أداةَ إدماجٍ لا أداةَ إقصاءٍ جديد؟</w:t>
      </w:r>
    </w:p>
    <w:p>
      <w:pPr>
        <w:spacing w:after="160" w:line="276" w:lineRule="auto"/>
        <w:jc w:val="right"/>
        <w:bidi w:val="1"/>
      </w:pPr>
      <w:r>
        <w:rPr>
          <w:rFonts w:ascii="Times New Roman" w:hAnsi="Times New Roman"/>
          <w:color w:val="1A1A2E"/>
          <w:sz w:val="22"/>
          <w:rtl w:val="1"/>
        </w:rPr>
        <w:t>لطالما اعتُبرت لغة الإشارة «لغةً بصرية-حركية» طبيعية متكاملة الخصائص، تمتلك معجماً وقواعدَ نحواً خاصةً بها، تؤدى باليدين وحركات الجسد وتعبيرات الوجه في فضاء الإشارة، ولا يجوز اختزالها في «إيماءات» كونية موحدة؛ إذ يوجد في العالم أكثر من 300 لغة إشارة يستخدمها نحو 72 مليون أصم، يعيش 80% منهم في البلدان النامية (World Federation of the Deaf, 2021). وقد أرسى الإطار الدولي لحقوق الأشخاص ذوي الإعاقة (اتفاقية 13 ديسمبر 2006) مبدأً حاسماً في هذا الشأن، إذ نصّ على الاعتراف بلغات الإشارة لغاتٍ قائمة بذاتها، وعلى إلزام الدول الأطراف بتعزيز تعلمها واستعمالها في التعليم والصحة والمحافل العامة والإعلام، انسجاماً مع شعار مجتمع الصم العالمي: «لا شيء عنا بدوننا».</w:t>
      </w:r>
    </w:p>
    <w:p>
      <w:pPr>
        <w:spacing w:after="160" w:line="276" w:lineRule="auto"/>
        <w:jc w:val="right"/>
        <w:bidi w:val="1"/>
      </w:pPr>
      <w:r>
        <w:rPr>
          <w:rFonts w:ascii="Times New Roman" w:hAnsi="Times New Roman"/>
          <w:color w:val="1A1A2E"/>
          <w:sz w:val="22"/>
          <w:rtl w:val="1"/>
        </w:rPr>
        <w:t>وتأتي لغة الإشارة الجزائرية — التي تشير إليها البحوث الدولية الحديثة باختصاري ALGSL أو LSA — في قلب هذا السياق. فالجزائر، التي صادقت على الاتفاقية الدولية المذكورة في 4 ديسمبر 2009 بعد توقيعها إياها في 30 مارس 2007، وأصدرت قانونها الوطني المتعلق بحماية المعوقين وترقيتهم (القانون رقم 02-09 المؤرخ في 8 مايو 2002)، تشهد منذ سنوات جهوداً مؤسساتية لتوحيد الإشارات، تُوِّجت بإعداد قاموس وطني موحد ضمّ أكثر من 1600 إشارة أُودع لدى وزارة التضامن الوطني سنة 2015، في وقت تُقدَّر فيه أعداد الصم في الجزائر بأزيد من نصف مليون شخص، منهم نحو مئة ألف متمدرس في مختلف الأطوار (جريدة النصر، 2015). غير أن المبادرة اللافتة خلال الأعوام 2023-2026 كانت ولادةَ أولى المدوّنات (Datasets) والأنظمة الآلية المخصصة للتعرف على الإشارة الجزائرية بالتعلم العميق، وهي منعطفٌ يستحق التحليل والرصد والتقويم.</w:t>
      </w:r>
    </w:p>
    <w:p>
      <w:pPr>
        <w:pStyle w:val="Heading1"/>
        <w:spacing w:before="360" w:after="160"/>
        <w:jc w:val="right"/>
        <w:keepNext/>
        <w:bidi w:val="1"/>
        <w:pBdr>
          <w:bottom w:val="single" w:sz="12" w:space="6" w:color="B91C1C"/>
        </w:pBdr>
      </w:pPr>
      <w:r>
        <w:rPr>
          <w:rFonts w:ascii="Times New Roman" w:hAnsi="Times New Roman"/>
          <w:b/>
          <w:color w:val="1A1A2E"/>
          <w:sz w:val="44"/>
          <w:rtl w:val="1"/>
        </w:rPr>
        <w:t>2. إشكالية المداخلة وأسئلتها وفرضياتها</w:t>
      </w:r>
    </w:p>
    <w:p>
      <w:pPr>
        <w:spacing w:after="160" w:line="276" w:lineRule="auto"/>
        <w:jc w:val="right"/>
        <w:bidi w:val="1"/>
      </w:pPr>
      <w:r>
        <w:rPr>
          <w:rFonts w:ascii="Times New Roman" w:hAnsi="Times New Roman"/>
          <w:color w:val="1A1A2E"/>
          <w:sz w:val="22"/>
          <w:rtl w:val="1"/>
        </w:rPr>
        <w:t>تنطلق هذه المداخلة من ملاحظة مفادها أن الفجوة بين الإمكانات الهائلة التي أضحت تتيحها تقنيات الذكاء الاصطناعي (تعلم عميق، رؤية حاسوبية، نماذج توليدية) وبين واقع لغة الإشارة الجزائرية كمدوّنةٍ شبه غائبة عن الخرائط الرقمية، فجوةٌ معرفية وتطبيقية لم تُدرس بعد دراسة منهجية. وبناءً عليه يمكن صياغة الإشكالية الرئيسية على النحو الآتي: إلى أي مدى يمكن للذكاء الاصطناعي أن يقدّم حلولاً علميةً فاعلةً ومستدامةً لتوثيق لغة الإشارة الجزائرية، والتعرف الآلي على إشاراتها، وترجمتها، وتعليمها؟ وما الشروط المنهجية والتقنية والأخلاقية الكفيلة بجعل هذه الحلول في خدمة مجتمع الصم الجزائري لا على حسابه؟</w:t>
      </w:r>
    </w:p>
    <w:p>
      <w:pPr>
        <w:spacing w:after="60"/>
        <w:ind w:right="504"/>
        <w:jc w:val="right"/>
        <w:bidi w:val="1"/>
      </w:pPr>
      <w:r>
        <w:rPr>
          <w:rFonts w:ascii="Times New Roman" w:hAnsi="Times New Roman"/>
          <w:color w:val="1A1A2E"/>
          <w:sz w:val="22"/>
          <w:rtl w:val="1"/>
        </w:rPr>
        <w:t>ما واقع لغة الإشارة الجزائرية من حيث الخصائص اللغوية والموارد المتاحة والتأطير القانوني؟</w:t>
      </w:r>
      <w:r>
        <w:rPr>
          <w:rFonts w:ascii="Times New Roman" w:hAnsi="Times New Roman"/>
          <w:color w:val="B91C1C"/>
          <w:sz w:val="22"/>
        </w:rPr>
        <w:t xml:space="preserve">  1.</w:t>
      </w:r>
    </w:p>
    <w:p>
      <w:pPr>
        <w:spacing w:after="60"/>
        <w:ind w:right="504"/>
        <w:jc w:val="right"/>
        <w:bidi w:val="1"/>
      </w:pPr>
      <w:r>
        <w:rPr>
          <w:rFonts w:ascii="Times New Roman" w:hAnsi="Times New Roman"/>
          <w:color w:val="1A1A2E"/>
          <w:sz w:val="22"/>
          <w:rtl w:val="1"/>
        </w:rPr>
        <w:t>ما أهم المدوّنات والبحوث الجزائرية في التعرف الآلي على الإشارة وترجمتها، وما النتائج المتحصَّل عنها وحدودها؟</w:t>
      </w:r>
      <w:r>
        <w:rPr>
          <w:rFonts w:ascii="Times New Roman" w:hAnsi="Times New Roman"/>
          <w:color w:val="B91C1C"/>
          <w:sz w:val="22"/>
        </w:rPr>
        <w:t xml:space="preserve">  2.</w:t>
      </w:r>
    </w:p>
    <w:p>
      <w:pPr>
        <w:spacing w:after="60"/>
        <w:ind w:right="504"/>
        <w:jc w:val="right"/>
        <w:bidi w:val="1"/>
      </w:pPr>
      <w:r>
        <w:rPr>
          <w:rFonts w:ascii="Times New Roman" w:hAnsi="Times New Roman"/>
          <w:color w:val="1A1A2E"/>
          <w:sz w:val="22"/>
          <w:rtl w:val="1"/>
        </w:rPr>
        <w:t>ما التحديات اللغوية والتقنية والبياناتية والأخلاقية التي تعترض النمذجة الحاسوبية لهذه اللغة منخفضة الموارد؟</w:t>
      </w:r>
      <w:r>
        <w:rPr>
          <w:rFonts w:ascii="Times New Roman" w:hAnsi="Times New Roman"/>
          <w:color w:val="B91C1C"/>
          <w:sz w:val="22"/>
        </w:rPr>
        <w:t xml:space="preserve">  3.</w:t>
      </w:r>
    </w:p>
    <w:p>
      <w:pPr>
        <w:spacing w:after="60"/>
        <w:ind w:right="504"/>
        <w:jc w:val="right"/>
        <w:bidi w:val="1"/>
      </w:pPr>
      <w:r>
        <w:rPr>
          <w:rFonts w:ascii="Times New Roman" w:hAnsi="Times New Roman"/>
          <w:color w:val="1A1A2E"/>
          <w:sz w:val="22"/>
          <w:rtl w:val="1"/>
        </w:rPr>
        <w:t>ما التصور الإجرائي المقترح لخارطة طريق وطنية تدمج الذكاء الاصطناعي في خدمة الإدماج السمعي-اللغوي في الجزائر؟</w:t>
      </w:r>
      <w:r>
        <w:rPr>
          <w:rFonts w:ascii="Times New Roman" w:hAnsi="Times New Roman"/>
          <w:color w:val="B91C1C"/>
          <w:sz w:val="22"/>
        </w:rPr>
        <w:t xml:space="preserve">  4.</w:t>
      </w:r>
    </w:p>
    <w:p>
      <w:pPr>
        <w:spacing w:after="160" w:line="276" w:lineRule="auto"/>
        <w:jc w:val="right"/>
        <w:bidi w:val="1"/>
      </w:pPr>
      <w:r>
        <w:rPr>
          <w:rFonts w:ascii="Times New Roman" w:hAnsi="Times New Roman"/>
          <w:color w:val="1A1A2E"/>
          <w:sz w:val="22"/>
          <w:rtl w:val="1"/>
        </w:rPr>
        <w:t>وانطلاقاً من هذه الأسئلة تُختبر الفرضيات التالية: أولاً، أن ندرة المدوّنات الرقمية المصنَّفة — لا غيابُ الإمكانات التقنية — هي العائق الجوهري أمام تطوير أنظمة التعرف الآلي على الإشارة الجزائرية؛ وثانياً، أن نجاعة هذه الأنظمة مشروطةٌ بإشراك مجتمع الصم في كل مراحل البناء، من التصميم اللغوي إلى التقييم، بما يجعل اللغةَ موضوعاً للبحث لا مجردَ مادة خام تقنية؛ وثالثاً، أن تقنيات نقل التعلم والنماذج متعددة الوسائط القائمة على المحولات (Transformers) تمثل مساراً واعداً لتجاوز ندرة البيانات، شرطَ توفّر بنية تحتية بحثية وتمويلٍ مستدام.</w:t>
      </w:r>
    </w:p>
    <w:p>
      <w:pPr>
        <w:pStyle w:val="Heading1"/>
        <w:spacing w:before="360" w:after="160"/>
        <w:jc w:val="right"/>
        <w:keepNext/>
        <w:bidi w:val="1"/>
        <w:pBdr>
          <w:bottom w:val="single" w:sz="12" w:space="6" w:color="B91C1C"/>
        </w:pBdr>
      </w:pPr>
      <w:r>
        <w:rPr>
          <w:rFonts w:ascii="Times New Roman" w:hAnsi="Times New Roman"/>
          <w:b/>
          <w:color w:val="1A1A2E"/>
          <w:sz w:val="44"/>
          <w:rtl w:val="1"/>
        </w:rPr>
        <w:t>3. أهمية المداخلة وأهدافها</w:t>
      </w:r>
    </w:p>
    <w:p>
      <w:pPr>
        <w:spacing w:after="160" w:line="276" w:lineRule="auto"/>
        <w:jc w:val="right"/>
        <w:bidi w:val="1"/>
      </w:pPr>
      <w:r>
        <w:rPr>
          <w:rFonts w:ascii="Times New Roman" w:hAnsi="Times New Roman"/>
          <w:color w:val="1A1A2E"/>
          <w:sz w:val="22"/>
          <w:rtl w:val="1"/>
        </w:rPr>
        <w:t>تتحدد أهمية هذه المداخلة في ثلاثة أبعاد متداخلة: بعدٌ معرفي، إذ تسدّ فراغاً في الرصد العربي للتحولات الحديثة (2023-2026) في حقل «معالجة لغة الإشارة الجزائرية آلياً»، وهو حقل لم تحظَ لغات الإشارة المغاربية فيه إلا بنصيب هامشي؛ وبعدٌ منهجي، إذ تقترح إطاراً تحليلياً يجمع بين التحليل اللغوي-الاجتماعي والتحليل التقني لتقييم البحوث القائمة وتحديد فجواتها؛ وبعدٌ تطبيقي-حقوقي، إذ تضع توصياتٍ قابلة للتنفيذ لصنّاع القرار وللباحثين في انسجام مع الالتزامات الدولية للجزائر ومع الاستراتيجية الوطنية للذكاء الاصطناعي.</w:t>
      </w:r>
    </w:p>
    <w:p>
      <w:pPr>
        <w:spacing w:after="60"/>
        <w:ind w:right="504"/>
        <w:jc w:val="right"/>
        <w:bidi w:val="1"/>
      </w:pPr>
      <w:r>
        <w:rPr>
          <w:rFonts w:ascii="Times New Roman" w:hAnsi="Times New Roman"/>
          <w:color w:val="1A1A2E"/>
          <w:sz w:val="22"/>
          <w:rtl w:val="1"/>
        </w:rPr>
        <w:t>رصد وتقويم الحصيلة البحثية الجزائرية في التعرف الآلي على الإشارة وترجمتها (المدوّنات، الأنظمة، النتائج).</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تحليل الخصائص اللغوية والاجتماعية والتشريعية للغة الإشارة الجزائرية بوصفها لغةً منخفضة الموارد.</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تحديد التحديات التقنية والمنهجية والأخلاقية أمام النمذجة الحاسوبية للغة الإشارة الجزائرية.</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اقتراح خارطة طريق وطنية منهجية لإدماج الذكاء الاصطناعي في توثيق لغة الإشارة الجزائرية وتعليمها وترجمتها، بمشاركة فاعلة من مجتمع الصم.</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تزويد الباحثين والأساتذة والمترجمين بإطار مرجعي علمي محدَّث يصلح أساساً لبحوث لاحقة أو لمشاريع تطبيقية.</w:t>
      </w:r>
      <w:r>
        <w:rPr>
          <w:rFonts w:ascii="Times New Roman" w:hAnsi="Times New Roman"/>
          <w:color w:val="B91C1C"/>
          <w:sz w:val="22"/>
        </w:rPr>
        <w:t xml:space="preserve">  •</w:t>
      </w:r>
    </w:p>
    <w:p>
      <w:pPr>
        <w:pStyle w:val="Heading1"/>
        <w:spacing w:before="360" w:after="160"/>
        <w:jc w:val="right"/>
        <w:keepNext/>
        <w:bidi w:val="1"/>
        <w:pBdr>
          <w:bottom w:val="single" w:sz="12" w:space="6" w:color="B91C1C"/>
        </w:pBdr>
      </w:pPr>
      <w:r>
        <w:rPr>
          <w:rFonts w:ascii="Times New Roman" w:hAnsi="Times New Roman"/>
          <w:b/>
          <w:color w:val="1A1A2E"/>
          <w:sz w:val="44"/>
          <w:rtl w:val="1"/>
        </w:rPr>
        <w:t>4. المنهجية والإجراءات</w:t>
      </w:r>
    </w:p>
    <w:p>
      <w:pPr>
        <w:spacing w:after="160" w:line="276" w:lineRule="auto"/>
        <w:jc w:val="right"/>
        <w:bidi w:val="1"/>
      </w:pPr>
      <w:r>
        <w:rPr>
          <w:rFonts w:ascii="Times New Roman" w:hAnsi="Times New Roman"/>
          <w:color w:val="1A1A2E"/>
          <w:sz w:val="22"/>
          <w:rtl w:val="1"/>
        </w:rPr>
        <w:t>اعتمدت هذه المداخلة المنهج الوصفي التحليلي القائم على تحليل المحتوى (Content Analysis) للأدبيات العلمية المنشورة حول موضوع الذكاء الاصطناعي ولغة الإشارة الجزائرية، وذلك عبر مسحٍ منهجي للمصادر المحكَّمة في قواعد البيانات الدولية (ACM، IEEE، Elsevier، MDPI، OpenAlex) وباللغات الثلاث: العربية والفرنسية والإنجليزية، إضافة إلى المصادر المؤسساتية والإعلامية الجزائرية الموثوقة. ثم خضعت المواد المجمَّعة لتحليلٍ نقدي مقارن استهدف استخراج المعطيات الكمية (حجم المدوّنات، نسب الدقة)، والمعطيات النوعية (الخصائص اللغوية، الشروط المنهجية)، قبل صياغة التركيبات والتوصيات. وتجدر الإشارة إلى حدود هذه المداخلة: فهي دراسة مكتبية-تحليلية بالدرجة الأولى، لا تشمل تجربة ميدانية مباشرة، كما أن قائمة مراجعها تُعدّ أوليةً قابلة للاستكمال والتدقيق قبل التقديم النهائي.</w:t>
      </w:r>
    </w:p>
    <w:p>
      <w:r>
        <w:br w:type="page"/>
      </w:r>
    </w:p>
    <w:p>
      <w:pPr>
        <w:pStyle w:val="Heading1"/>
        <w:spacing w:before="360" w:after="160"/>
        <w:jc w:val="right"/>
        <w:keepNext/>
        <w:bidi w:val="1"/>
        <w:pBdr>
          <w:bottom w:val="single" w:sz="12" w:space="6" w:color="B91C1C"/>
        </w:pBdr>
      </w:pPr>
      <w:r>
        <w:rPr>
          <w:rFonts w:ascii="Times New Roman" w:hAnsi="Times New Roman"/>
          <w:b/>
          <w:color w:val="1A1A2E"/>
          <w:sz w:val="44"/>
          <w:rtl w:val="1"/>
        </w:rPr>
        <w:t>5. الإطار المفاهيمي</w:t>
      </w:r>
    </w:p>
    <w:p>
      <w:pPr>
        <w:pStyle w:val="Heading2"/>
        <w:spacing w:before="240" w:after="80"/>
        <w:jc w:val="right"/>
        <w:bidi w:val="1"/>
        <w:pBdr>
          <w:bottom w:val="single" w:sz="6" w:space="3" w:color="16213E"/>
        </w:pBdr>
      </w:pPr>
      <w:r>
        <w:rPr>
          <w:rFonts w:ascii="Times New Roman" w:hAnsi="Times New Roman"/>
          <w:b/>
          <w:color w:val="16213E"/>
          <w:sz w:val="30"/>
          <w:rtl w:val="1"/>
        </w:rPr>
        <w:t>5.1 الذكاء الاصطناعي: تعريفٌ ومرتكزات</w:t>
      </w:r>
    </w:p>
    <w:p>
      <w:pPr>
        <w:spacing w:after="160" w:line="276" w:lineRule="auto"/>
        <w:jc w:val="right"/>
        <w:bidi w:val="1"/>
      </w:pPr>
      <w:r>
        <w:rPr>
          <w:rFonts w:ascii="Times New Roman" w:hAnsi="Times New Roman"/>
          <w:color w:val="1A1A2E"/>
          <w:sz w:val="22"/>
          <w:rtl w:val="1"/>
        </w:rPr>
        <w:t>الذكاء الاصطناعي فرعٌ من علوم الحاسوب يهدف إلى تصميم أنظمة قادرة على محاكاة وظائف معرفية إنسانية كالتعلم والاستدلال والإدراك واتخاذ القرار. وقد تطور هذا المفهوم من أنظمة قائمة على القواعد الصريحة (الأنظمة الخبيرة) إلى نماذج التعلم الآلي (Machine Learning) التي تستنبط الأنماط من البيانات، ثم إلى التعلم العميق (Deep Learning) القائم على الشبكات العصبية متعددة الطبقات، الذي حقق قفزاتٍ نوعية في الرؤية الحاسوبية ومعالجة اللغة الطبيعية. ويُستكمل هذا البناء اليوم بما يعرف بالنماذج اللغوية الكبرى (LLMs) والنماذج التوليدية متعددة الوسائط، القادرة على توليد النصوص والصور والفيديو، مما فتح آفاقاً غير مسبوقة في ميدان «هندسة لغات الإشارة»</w:t>
      </w:r>
    </w:p>
    <w:p>
      <w:pPr>
        <w:spacing w:after="160" w:line="276" w:lineRule="auto"/>
        <w:jc w:val="right"/>
        <w:bidi w:val="1"/>
      </w:pPr>
      <w:r>
        <w:rPr>
          <w:rFonts w:ascii="Times New Roman" w:hAnsi="Times New Roman"/>
          <w:color w:val="1A1A2E"/>
          <w:sz w:val="22"/>
          <w:rtl w:val="1"/>
        </w:rPr>
        <w:t>وتُعَدُّ الرؤية الحاسوبية (Computer Vision) العمودَ الفقري للتعامل الآلي مع لغات الإشارة، إذ تتيح التقاط حركات اليدين والجسد وتعبيرات الوجه من الفيديو؛ بينما تُوظَّف تقنيات معالجة اللغة الطبيعية في الطرف المقابل لفهم النص العربي أو الفرنسي وتوليده؛ وتتكامل هذه التقنيات في أنظمة من ثلاثية: التعرف (Recognition)، والترجمة (Translation)، والإنتاج الآلي للإشارة (Sign Production) عبر شخصيات افتراضية (Avatars) أو عبر فيديو مولَّد.</w:t>
      </w:r>
    </w:p>
    <w:p>
      <w:pPr>
        <w:pStyle w:val="Heading2"/>
        <w:spacing w:before="240" w:after="80"/>
        <w:jc w:val="right"/>
        <w:bidi w:val="1"/>
        <w:pBdr>
          <w:bottom w:val="single" w:sz="6" w:space="3" w:color="16213E"/>
        </w:pBdr>
      </w:pPr>
      <w:r>
        <w:rPr>
          <w:rFonts w:ascii="Times New Roman" w:hAnsi="Times New Roman"/>
          <w:b/>
          <w:color w:val="16213E"/>
          <w:sz w:val="30"/>
          <w:rtl w:val="1"/>
        </w:rPr>
        <w:t>5.2 لغة الإشارة: الخصائص والمكونات</w:t>
      </w:r>
    </w:p>
    <w:p>
      <w:pPr>
        <w:spacing w:after="160" w:line="276" w:lineRule="auto"/>
        <w:jc w:val="right"/>
        <w:bidi w:val="1"/>
      </w:pPr>
      <w:r>
        <w:rPr>
          <w:rFonts w:ascii="Times New Roman" w:hAnsi="Times New Roman"/>
          <w:color w:val="1A1A2E"/>
          <w:sz w:val="22"/>
          <w:rtl w:val="1"/>
        </w:rPr>
        <w:t>لغة الإشارة لغةٌ طبيعية كاملة الخصائص، مستقلةٌ في بنيتها عن اللغة المنطوقة المحيطة بها؛ فهي ليست ترميزاً يدوياً للكلمات، بل نظامٌ لغوي قائم بذاته يتميز بالخصائص الآتية: أولاً، وسيطها بصري-حركي (يدان، ذراعان، جذع، رأس، وجه) بدل الوسيط الصوتي-السمعي؛ وثانياً، تزامنيتها، إذ تتوالى عناصرها في آنٍ واحد داخل فضاء الإشارة (الفضاء الذي تتشكل فيه الإشارة أمام الجسد) لا خطياً في الزمن فقط؛ وثالثاً، اعتمادها على قنوات غير يدوية (Non-manual Markers) كتعبيرات الوجه وحركة الحاجبين والفم، وهي قنوات ذات وظائف نحوية (نفي، استفهام، شرط) لا زخرفية؛ ورابعاً، وجود معجمٍ خاصٍ بها يتكون من وحدات صغرى تُحلل إلى مكونات كتشكيل اليد (Handshape)، وموضع الأداء (Location)، والحركة (Movement)، والاتجاه (Orientation) (Sandler &amp; Lillo-Martin, 2006).</w:t>
      </w:r>
    </w:p>
    <w:p>
      <w:pPr>
        <w:spacing w:after="160" w:line="276" w:lineRule="auto"/>
        <w:jc w:val="right"/>
        <w:bidi w:val="1"/>
      </w:pPr>
      <w:r>
        <w:rPr>
          <w:rFonts w:ascii="Times New Roman" w:hAnsi="Times New Roman"/>
          <w:color w:val="1A1A2E"/>
          <w:sz w:val="22"/>
          <w:rtl w:val="1"/>
        </w:rPr>
        <w:t>وتتعدد لغات الإشارة بتعدد المجتمعات، وقد تختلف داخل الدولة الواحدة تبعاً للجهات والمدارس؛ ومن هنا يكتسي التمييز بين «لغة الإشارة الجزائرية» و«لغة الإشارة العربية الموحدة» التي تعتمدها بعض الأقطار العربية، أهميةً منهجيةً كبرى، إذ إن كل لغة إشارة وطنية كيانٌ لغوي-ثقافي مستقل يستوجب مدوّناتٍ ونماذجَ خاصة به.</w:t>
      </w:r>
    </w:p>
    <w:p>
      <w:pPr>
        <w:pStyle w:val="Heading2"/>
        <w:spacing w:before="240" w:after="80"/>
        <w:jc w:val="right"/>
        <w:bidi w:val="1"/>
        <w:pBdr>
          <w:bottom w:val="single" w:sz="6" w:space="3" w:color="16213E"/>
        </w:pBdr>
      </w:pPr>
      <w:r>
        <w:rPr>
          <w:rFonts w:ascii="Times New Roman" w:hAnsi="Times New Roman"/>
          <w:b/>
          <w:color w:val="16213E"/>
          <w:sz w:val="30"/>
          <w:rtl w:val="1"/>
        </w:rPr>
        <w:t>5.3 الإعاقة السمعية: المصطلح والمقاربة</w:t>
      </w:r>
    </w:p>
    <w:p>
      <w:pPr>
        <w:spacing w:after="160" w:line="276" w:lineRule="auto"/>
        <w:jc w:val="right"/>
        <w:bidi w:val="1"/>
      </w:pPr>
      <w:r>
        <w:rPr>
          <w:rFonts w:ascii="Times New Roman" w:hAnsi="Times New Roman"/>
          <w:color w:val="1A1A2E"/>
          <w:sz w:val="22"/>
          <w:rtl w:val="1"/>
        </w:rPr>
        <w:t>تُعرَّف الإعاقة السمعية بأنها الحرمان الجزئي أو الكلي من القدرة على استقبال الأصوات أو فهمها، وتتفاوت درجاتها بين ضعف السمع الخفيف والصمم العميق. وقد انتقلت المقاربات العلمية الحديثة من النموذج الطبي الذي ينظر إلى الأصم بوصفه «حالةً نقصٍ تُعالَج» إلى النموذج الاجتماعي-الثقافي الذي يعتبر مجتمع الصم مجموعةً لغوية-ثقافية لها لغتها وهويتها الخاصة، وتواجه عوائقَ بيئيةً وموقفيةً في مجتمع الأغلبية السامعة. وهذا التحول النظري أرسى الأساسَ لاعتبار لغة الإشارة حقاً لغوياً، ولاشتراط تصميم أي حل تكنولوجي انطلاقاً من احتياجات الصم كما يعبّرون عنها بأنفسهم.</w:t>
      </w:r>
    </w:p>
    <w:p>
      <w:pPr>
        <w:pStyle w:val="Heading2"/>
        <w:spacing w:before="240" w:after="80"/>
        <w:jc w:val="right"/>
        <w:bidi w:val="1"/>
        <w:pBdr>
          <w:bottom w:val="single" w:sz="6" w:space="3" w:color="16213E"/>
        </w:pBdr>
      </w:pPr>
      <w:r>
        <w:rPr>
          <w:rFonts w:ascii="Times New Roman" w:hAnsi="Times New Roman"/>
          <w:b/>
          <w:color w:val="16213E"/>
          <w:sz w:val="30"/>
          <w:rtl w:val="1"/>
        </w:rPr>
        <w:t>5.4 مفاهيم المعالجة الآلية للغة الإشارة</w:t>
      </w:r>
    </w:p>
    <w:p>
      <w:pPr>
        <w:spacing w:after="60"/>
        <w:ind w:right="504"/>
        <w:jc w:val="right"/>
        <w:bidi w:val="1"/>
      </w:pPr>
      <w:r>
        <w:rPr>
          <w:rFonts w:ascii="Times New Roman" w:hAnsi="Times New Roman"/>
          <w:color w:val="1A1A2E"/>
          <w:sz w:val="22"/>
          <w:rtl w:val="1"/>
        </w:rPr>
        <w:t>التعرف على الإشارات (SLR): تحويل فيديو الإشارة إلى نص (لفظي أو لغة وسيطة)؛ وينقسم إلى: تعرفٍ على الإشارات المعزولة (Isolated)، وتعرفٍ على الجمل المتصلة (Continuous)، وتعرفٍ على الحروف الهجائية اليدوية (Fingerspelling).</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الترجمة الآلية للغة الإشارة (SLT): نقل المعنى بين لغة منطوقة ولغة إشارة في الاتجاهين، وتتطلب فهماً نحوياً عميقاً لا مجرد مطابقةٍ معجمية.</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إنتاج اللغة الإشارة (SLP/Sign Production): توليد حركات إشارة مفهومة من نص، عبر شخصية افتراضية ثلاثية الأبعاد أو عبر شبكات توليد الفيديو؛ ويُعدّ هذا الاتجاه الأحدث والأكثر طموحاً.</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أنظمة التدوين الإشاري: كتدوين هامبورغ (HamNoSys) و(SignWriting) و(NSM)؛ وهي أنظمة وسيطة لتمثيل الإشارة كتابةً أو ترميزاً، تستعمل مكونات شكل اليد والحركة والموضع، وتشكل جسراً بين اللسانيات والهندسة الحاسوبية.</w:t>
      </w:r>
      <w:r>
        <w:rPr>
          <w:rFonts w:ascii="Times New Roman" w:hAnsi="Times New Roman"/>
          <w:color w:val="B91C1C"/>
          <w:sz w:val="22"/>
        </w:rPr>
        <w:t xml:space="preserve">  •</w:t>
      </w:r>
    </w:p>
    <w:p>
      <w:pPr>
        <w:pStyle w:val="Heading1"/>
        <w:spacing w:before="360" w:after="160"/>
        <w:jc w:val="right"/>
        <w:keepNext/>
        <w:bidi w:val="1"/>
        <w:pBdr>
          <w:bottom w:val="single" w:sz="12" w:space="6" w:color="B91C1C"/>
        </w:pBdr>
      </w:pPr>
      <w:r>
        <w:rPr>
          <w:rFonts w:ascii="Times New Roman" w:hAnsi="Times New Roman"/>
          <w:b/>
          <w:color w:val="1A1A2E"/>
          <w:sz w:val="44"/>
          <w:rtl w:val="1"/>
        </w:rPr>
        <w:t>6. لغة الإشارة الجزائرية: الخصائص والواقع والتأطير</w:t>
      </w:r>
    </w:p>
    <w:p>
      <w:pPr>
        <w:pStyle w:val="Heading2"/>
        <w:spacing w:before="240" w:after="80"/>
        <w:jc w:val="right"/>
        <w:bidi w:val="1"/>
        <w:pBdr>
          <w:bottom w:val="single" w:sz="6" w:space="3" w:color="16213E"/>
        </w:pBdr>
      </w:pPr>
      <w:r>
        <w:rPr>
          <w:rFonts w:ascii="Times New Roman" w:hAnsi="Times New Roman"/>
          <w:b/>
          <w:color w:val="16213E"/>
          <w:sz w:val="30"/>
          <w:rtl w:val="1"/>
        </w:rPr>
        <w:t>6.1 الخصوصية اللغوية والاجتماعية</w:t>
      </w:r>
    </w:p>
    <w:p>
      <w:pPr>
        <w:spacing w:after="160" w:line="276" w:lineRule="auto"/>
        <w:jc w:val="right"/>
        <w:bidi w:val="1"/>
      </w:pPr>
      <w:r>
        <w:rPr>
          <w:rFonts w:ascii="Times New Roman" w:hAnsi="Times New Roman"/>
          <w:color w:val="1A1A2E"/>
          <w:sz w:val="22"/>
          <w:rtl w:val="1"/>
        </w:rPr>
        <w:t>تُستعمل في الجزائر، شأنَ كثير من البلدان، لغةُ إشارةٍ وطنية متداولة بين الصم في مختلف الولايات، تتغذى من إشاراتٍ محلية تلقائية (إشارات عائلية ومدرسية وجمعوية) ومن تماسّ تاريخي مع لغات الإشارة الفرنسية والعربية الموحدة، خصوصاً عبر المؤسسات التعليمية والجمعوية التي لعبت دوراً محورياً في نقلها وتثبيتها. ويُلاحظ المختصون وجود تباينٍ إشاري بين المناطق والمدن، إضافة إلى فجوةٍ بين المعجم «الموحَّد» المتداول في الكتب والمدارس وبين الاستعمال الحي للإشارات لدى الصم خارج الإطار الرسمي، وهي ظاهرة طبيعية في لغات الإشارة كافةً لكنها تطرح إشكالات دقيقة عند تصميم مدوّنات التعلم الآلي.</w:t>
      </w:r>
    </w:p>
    <w:p>
      <w:pPr>
        <w:pStyle w:val="Heading2"/>
        <w:spacing w:before="240" w:after="80"/>
        <w:jc w:val="right"/>
        <w:bidi w:val="1"/>
        <w:pBdr>
          <w:bottom w:val="single" w:sz="6" w:space="3" w:color="16213E"/>
        </w:pBdr>
      </w:pPr>
      <w:r>
        <w:rPr>
          <w:rFonts w:ascii="Times New Roman" w:hAnsi="Times New Roman"/>
          <w:b/>
          <w:color w:val="16213E"/>
          <w:sz w:val="30"/>
          <w:rtl w:val="1"/>
        </w:rPr>
        <w:t>6.2 التأطير التشريعي والمؤسسي</w:t>
      </w:r>
    </w:p>
    <w:p>
      <w:pPr>
        <w:spacing w:after="160" w:line="276" w:lineRule="auto"/>
        <w:jc w:val="right"/>
        <w:bidi w:val="1"/>
      </w:pPr>
      <w:r>
        <w:rPr>
          <w:rFonts w:ascii="Times New Roman" w:hAnsi="Times New Roman"/>
          <w:color w:val="1A1A2E"/>
          <w:sz w:val="22"/>
          <w:rtl w:val="1"/>
        </w:rPr>
        <w:t>يعزز الإطار التشريعي الجزائري من حيث المبدأ مكانةَ الأشخاص ذوي الإعاقة السمعية: فقد صدر القانون رقم 02-09 المؤرخ في 8 مايو 2002 المتعلق بحماية الأشخاص المعوقين وترقيتهم (الجريدة الرسمية عدد 34 لسنة 2002)، الذي ألزم الدولة بتوفير وسائل التكفل والدمج، وتبنّت الجزائر الاتفاقية الدولية لحقوق الأشخاص ذوي الإعاقة (وقعتها في 30 مارس 2007 وصادقت عليها في 4 ديسمبر 2009، ودخلت حيز النفاذ في حقها في 3 يناير 2010)، وهي الاتفاقية التي خصصت موادَّ صريحةً للغة الإشارة: فالمادة 2 تعرف «اللغة» بما يشمل لغات الإشارة، والمادة 21 تلزم بتقديم المعلومات العامة بأشكال ووسائل ميسّرة بما فيها لغة الإشارة، والمادتان 24 و30 تكفلان التعليم بلغة الإشارة والمشاركة الثقافية. وفي المستوى الوطني، أُعدّ قاموسٌ وطني موحد للإشارات بإشراف وزارة التضامن الوطني وبمشاركة لجنةٍ وطنية ضمت 18 عضواً مختصاً، واستغرق إعداده نحو ثماني سنوات، وضم أكثر من 1600 إشارة موحدة مدعومة بالصور والشروح، وأُودعت نسخته لدى الوزارة سنة 2015؛ كما بادر قطاع العدالة إلى تكوين أمناء ضبط في لغة الإشارة لتقريب العدالة من الصم (جريدة النصر، 2015). وفي السياق التقني، تعرف الجزائر ديناميكيةً وطنية للذكاء الاصطناعي تجسدت في إنشاء المدرسة العليا للذكاء الاصطناعي (2021-2022) وانتشار بيوت الذكاء الاصطناعي الجامعية وإطلاق الاستراتيجية الوطنية للذكاء الاصطناعي، مما يوفر إطاراً مؤسساتياً واعداً لاحتضان مشاريع لغة الإشارة الرقمية.</w:t>
      </w:r>
    </w:p>
    <w:p>
      <w:pPr>
        <w:pStyle w:val="Heading2"/>
        <w:spacing w:before="240" w:after="80"/>
        <w:jc w:val="right"/>
        <w:bidi w:val="1"/>
        <w:pBdr>
          <w:bottom w:val="single" w:sz="6" w:space="3" w:color="16213E"/>
        </w:pBdr>
      </w:pPr>
      <w:r>
        <w:rPr>
          <w:rFonts w:ascii="Times New Roman" w:hAnsi="Times New Roman"/>
          <w:b/>
          <w:color w:val="16213E"/>
          <w:sz w:val="30"/>
          <w:rtl w:val="1"/>
        </w:rPr>
        <w:t>6.3 لغةٌ منخفضةُ الموارد: مظاهرُ الندرة ورهاناتُها</w:t>
      </w:r>
    </w:p>
    <w:p>
      <w:pPr>
        <w:spacing w:after="160" w:line="276" w:lineRule="auto"/>
        <w:jc w:val="right"/>
        <w:bidi w:val="1"/>
      </w:pPr>
      <w:r>
        <w:rPr>
          <w:rFonts w:ascii="Times New Roman" w:hAnsi="Times New Roman"/>
          <w:color w:val="1A1A2E"/>
          <w:sz w:val="22"/>
          <w:rtl w:val="1"/>
        </w:rPr>
        <w:t>يُصنَّف حقُّ معالجة لغات الإشارة آلياً ضمن «اللغات منخفضة الموارد» (Low-resource Languages) بامتياز، ولغة الإشارة الجزائرية نموذجٌ صارخٌ على ذلك؛ إذ تفتقر إلى: مدوّنات فيديو مرجعية كبيرة وموزعة (حتى كتابة هذه السطور لا يتجاوز مجموع مقاطع أشهر مدوّنتين عموميتين نحو 11 ألف مقطع)، وإلى معاجم إلكترونية مصنَّفة قابلة للاستغلال الحاسوبي رغم وجود القاموس الورقي الموحد، وإلى فرق بحثية مزدوجة التخصص (لسانيّو إشارة × مهندسو تعلم آلي)، وإلى معايير وطنية لوسم البيانات وتقييم الأنظمة. وتترتب على هذه الندرة نتائجُ مباشرة: ضعف جاهزية الخدمات العمومية (صحة، تعليم، عدالة) لاستقبال الصم، واعتماد الصم على الوساطة البشرية النادرة، وبالتالي تعميقُ العزلة الرقمية، خصوصاً في زمن أضحت فيه الخدماتُ الحكومية والتعليمية رقميةً بالأساس.</w:t>
      </w:r>
    </w:p>
    <w:tbl>
      <w:tblPr>
        <w:tblW w:type="auto" w:w="0"/>
        <w:tblLook w:firstColumn="1" w:firstRow="1" w:lastColumn="0" w:lastRow="0" w:noHBand="0" w:noVBand="1" w:val="04A0"/>
      </w:tblPr>
      <w:tblGrid>
        <w:gridCol w:w="8640"/>
      </w:tblGrid>
      <w:tr>
        <w:tc>
          <w:tcPr>
            <w:tcW w:type="dxa" w:w="8640"/>
            <w:shd w:val="clear" w:color="auto" w:fill="FFFBEB"/>
            <w:tcBorders>
              <w:top w:val="single" w:sz="4" w:space="0" w:color="FFFBEB"/>
              <w:left w:val="single" w:sz="24" w:space="0" w:color="D97706"/>
              <w:bottom w:val="single" w:sz="4" w:space="0" w:color="FFFBEB"/>
              <w:right w:val="single" w:sz="4" w:space="0" w:color="FFFBEB"/>
            </w:tcBorders>
          </w:tcPr>
          <w:p>
            <w:pPr>
              <w:spacing w:before="120" w:after="120"/>
              <w:jc w:val="right"/>
              <w:bidi w:val="1"/>
            </w:pPr>
            <w:r>
              <w:rPr>
                <w:rFonts w:ascii="Times New Roman" w:hAnsi="Times New Roman"/>
                <w:b/>
                <w:color w:val="D97706"/>
                <w:sz w:val="18"/>
              </w:rPr>
              <w:t xml:space="preserve">WARNING  </w:t>
            </w:r>
            <w:r>
              <w:rPr>
                <w:rFonts w:ascii="Times New Roman" w:hAnsi="Times New Roman"/>
                <w:color w:val="1A1A2E"/>
                <w:sz w:val="20"/>
                <w:rtl w:val="1"/>
              </w:rPr>
              <w:t>ملاحظة مصطلحية منهجية: يشيع في بعض البحوث والمنصات الدولية إدراج الإشارة الجزائرية ضمن عائلة «لغة الإشارة العربية» (ArSL) وتدريب النماذج عليها معاً، أو اعتماد تسمية «لغة الإشارة العربية الجزائرية» (ALSL). وتفرض المنهجية العلمية التمييز بين مستويين: لغة الإشارة الجزائرية بوصفها ممارسةً لغوية-اجتماعية قائمة بذاتها، ولغة الإشارة العربية الموحدة بوصفها مشروعاً توحيدياً إقليمياً. وأي خلطٍ بينهما في تصميم المدوّنات يؤدي إلى نتائج مضللة في التقييم وتطبيقات غير صالحة ميدانياً.</w:t>
            </w:r>
          </w:p>
        </w:tc>
      </w:tr>
    </w:tbl>
    <w:p>
      <w:pPr>
        <w:spacing w:after="80"/>
      </w:pPr>
    </w:p>
    <w:p>
      <w:r>
        <w:br w:type="page"/>
      </w:r>
    </w:p>
    <w:p>
      <w:pPr>
        <w:pStyle w:val="Heading1"/>
        <w:spacing w:before="360" w:after="160"/>
        <w:jc w:val="right"/>
        <w:keepNext/>
        <w:bidi w:val="1"/>
        <w:pBdr>
          <w:bottom w:val="single" w:sz="12" w:space="6" w:color="B91C1C"/>
        </w:pBdr>
      </w:pPr>
      <w:r>
        <w:rPr>
          <w:rFonts w:ascii="Times New Roman" w:hAnsi="Times New Roman"/>
          <w:b/>
          <w:color w:val="1A1A2E"/>
          <w:sz w:val="44"/>
          <w:rtl w:val="1"/>
        </w:rPr>
        <w:t>7. حصيلة البحوث والتطبيقات في الذكاء الاصطناعي ولغة الإشارة الجزائرية</w:t>
      </w:r>
    </w:p>
    <w:p>
      <w:pPr>
        <w:pStyle w:val="Heading2"/>
        <w:spacing w:before="240" w:after="80"/>
        <w:jc w:val="right"/>
        <w:bidi w:val="1"/>
        <w:pBdr>
          <w:bottom w:val="single" w:sz="6" w:space="3" w:color="16213E"/>
        </w:pBdr>
      </w:pPr>
      <w:r>
        <w:rPr>
          <w:rFonts w:ascii="Times New Roman" w:hAnsi="Times New Roman"/>
          <w:b/>
          <w:color w:val="16213E"/>
          <w:sz w:val="30"/>
          <w:rtl w:val="1"/>
        </w:rPr>
        <w:t>7.1 لمحة عن الاتجاهات العالمية في معالجة لغات الإشارة آلياً</w:t>
      </w:r>
    </w:p>
    <w:p>
      <w:pPr>
        <w:spacing w:after="160" w:line="276" w:lineRule="auto"/>
        <w:jc w:val="right"/>
        <w:bidi w:val="1"/>
      </w:pPr>
      <w:r>
        <w:rPr>
          <w:rFonts w:ascii="Times New Roman" w:hAnsi="Times New Roman"/>
          <w:color w:val="1A1A2E"/>
          <w:sz w:val="22"/>
          <w:rtl w:val="1"/>
        </w:rPr>
        <w:t>قبل تناول الحالة الجزائرية، يجدر استعراض خريطة الاتجاهات العالمية التي تتقاطع معها، ويمكن إجمالها في خمسة مسارات: المسار الأول، التعلُّم على الصور المفردة بالشبكات الالتفافية (CNN) ونماذج المحولات البصرية (Vision Transformers) التي أظهرت نتائج عالية في تمييز إشارات الحروف والكلمات؛ والمسار الثاني، النمذجة الزمنية للفيديو عبر الشبكات الالتفافية ثلاثية الأبعاد (3D-CNN) والشبكات المتكررة (RNN/LSTM) ومحولات الزمن (Transformers) لالتقاط ديناميكية الحركة؛ والمسار الثالث، التقدير الهيكلي للجسد واليدين (Pose Estimation) بأدوات مفتوحة المصدر كـ MediaPipe وOpenPose، ثم تحويل المسارات إلى متجهات سمات تُغذي نماذج التصنيف، وهو نهج اقتصادي في الحوسبة يلائم البيئات الجامعية الناشئة؛ والمسار الرابع، نماذج الترجمة والإنتاج القائمة على مقاربات الموديلات اللغوية الكبرى والترميزات الوسيطة (Gloss و HamNoSys) وشخصياتٍ افتراضية توليدية؛ والمسار الخامس، نقل التعلم عبر لغات الإشارة (Cross-lingual Transfer) ومعالجة ندرة البيانات بالبيانات الاصطناعية وتقنيات التضخيم (Data Augmentation). وقد ساهمت مدوّنات مرجعية عالمية وإقليمية (كـWLASL وMS-ASL و LSA-64 الأرجنتينية، ومدوّنات عربية كلغة الإشارة السعودية) في تسريع هذا الحقل، مع بقاء لغات الإشارة المغاربية — الجزائرية والمغربية والتونسية — في ذيل التغطية، مما يجعل الأعمال الجزائرية الحديثة رائدةً إقليمياً وإن كانت متأخرة زمنياً عن نظيراتها العالمية.</w:t>
      </w:r>
    </w:p>
    <w:p>
      <w:pPr>
        <w:pStyle w:val="Heading2"/>
        <w:spacing w:before="240" w:after="80"/>
        <w:jc w:val="right"/>
        <w:bidi w:val="1"/>
        <w:pBdr>
          <w:bottom w:val="single" w:sz="6" w:space="3" w:color="16213E"/>
        </w:pBdr>
      </w:pPr>
      <w:r>
        <w:rPr>
          <w:rFonts w:ascii="Times New Roman" w:hAnsi="Times New Roman"/>
          <w:b/>
          <w:color w:val="16213E"/>
          <w:sz w:val="30"/>
          <w:rtl w:val="1"/>
        </w:rPr>
        <w:t>7.2 المدوّنات (Datasets) الجزائرية: البنية التحتية الناشئة</w:t>
      </w:r>
    </w:p>
    <w:p>
      <w:pPr>
        <w:spacing w:after="160" w:line="276" w:lineRule="auto"/>
        <w:jc w:val="right"/>
        <w:bidi w:val="1"/>
      </w:pPr>
      <w:r>
        <w:rPr>
          <w:rFonts w:ascii="Times New Roman" w:hAnsi="Times New Roman"/>
          <w:color w:val="1A1A2E"/>
          <w:sz w:val="22"/>
          <w:rtl w:val="1"/>
        </w:rPr>
        <w:t>شكّل غياب المدوّنات أكبر عائقٍ أمام أي مشروع تعلم آلي للغة الإشارة الجزائرية؛ غير أن الأعوام 2023-2026 شهدت انطلاقةً حقيقية بسلسلة مدوّنات جديدة يمكن رصدها في الجدول التالي:</w:t>
      </w:r>
    </w:p>
    <w:tbl>
      <w:tblPr>
        <w:tblStyle w:val="TableGrid"/>
        <w:tblW w:type="auto" w:w="0"/>
        <w:tblLayout w:type="autofit"/>
        <w:tblLook w:firstColumn="1" w:firstRow="1" w:lastColumn="0" w:lastRow="0" w:noHBand="0" w:noVBand="1" w:val="04A0"/>
      </w:tblPr>
      <w:tblGrid>
        <w:gridCol w:w="1728"/>
        <w:gridCol w:w="1728"/>
        <w:gridCol w:w="1728"/>
        <w:gridCol w:w="1728"/>
        <w:gridCol w:w="1728"/>
      </w:tblGrid>
      <w:tr>
        <w:tc>
          <w:tcPr>
            <w:tcW w:type="dxa" w:w="1728"/>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المدوّنة</w:t>
            </w:r>
          </w:p>
        </w:tc>
        <w:tc>
          <w:tcPr>
            <w:tcW w:type="dxa" w:w="1728"/>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السنة</w:t>
            </w:r>
          </w:p>
        </w:tc>
        <w:tc>
          <w:tcPr>
            <w:tcW w:type="dxa" w:w="1728"/>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المحتوى</w:t>
            </w:r>
          </w:p>
        </w:tc>
        <w:tc>
          <w:tcPr>
            <w:tcW w:type="dxa" w:w="1728"/>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الحجم</w:t>
            </w:r>
          </w:p>
        </w:tc>
        <w:tc>
          <w:tcPr>
            <w:tcW w:type="dxa" w:w="1728"/>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أبرز الخصائص</w:t>
            </w:r>
          </w:p>
        </w:tc>
      </w:tr>
      <w:tr>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pPr>
            <w:r/>
            <w:r>
              <w:rPr>
                <w:rFonts w:ascii="Times New Roman" w:hAnsi="Times New Roman"/>
                <w:color w:val="1A1A2E"/>
                <w:sz w:val="20"/>
              </w:rPr>
              <w:t>Alabib-65 (Khellas &amp; Seghir)</w:t>
            </w:r>
          </w:p>
        </w:tc>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pPr>
            <w:r/>
            <w:r>
              <w:rPr>
                <w:rFonts w:ascii="Times New Roman" w:hAnsi="Times New Roman"/>
                <w:color w:val="1A1A2E"/>
                <w:sz w:val="20"/>
              </w:rPr>
              <w:t>2023</w:t>
            </w:r>
          </w:p>
        </w:tc>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65 إشارة جزائرية (كلمات)</w:t>
            </w:r>
          </w:p>
        </w:tc>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6,238 فيديو من 41 موقعاً أصماً (Native Signers)</w:t>
            </w:r>
          </w:p>
        </w:tc>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تُعدّ أول مدوّنة جزائرية واقعية؛ توزيعٌ متوازن لفئاتها مقارنة بمدوّنات عالمية كـWLASL وMS-ASL</w:t>
            </w:r>
          </w:p>
        </w:tc>
      </w:tr>
      <w:tr>
        <w:tc>
          <w:tcPr>
            <w:tcW w:type="dxa" w:w="1728"/>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Times New Roman" w:hAnsi="Times New Roman"/>
                <w:color w:val="1A1A2E"/>
                <w:sz w:val="20"/>
              </w:rPr>
              <w:t>ALGSL89 (Kheldoun et al.)</w:t>
            </w:r>
          </w:p>
        </w:tc>
        <w:tc>
          <w:tcPr>
            <w:tcW w:type="dxa" w:w="1728"/>
            <w:shd w:val="clear" w:color="auto" w:fill="FFFFFF"/>
            <w:tcBorders>
              <w:top w:val="single" w:sz="4" w:space="0" w:color="CBD5E1"/>
              <w:left w:val="single" w:sz="4" w:space="0" w:color="CBD5E1"/>
              <w:bottom w:val="single" w:sz="4" w:space="0" w:color="CBD5E1"/>
              <w:right w:val="single" w:sz="4" w:space="0" w:color="CBD5E1"/>
            </w:tcBorders>
          </w:tcPr>
          <w:p>
            <w:pPr>
              <w:spacing w:before="60" w:after="60"/>
            </w:pPr>
            <w:r/>
            <w:r>
              <w:rPr>
                <w:rFonts w:ascii="Times New Roman" w:hAnsi="Times New Roman"/>
                <w:color w:val="1A1A2E"/>
                <w:sz w:val="20"/>
              </w:rPr>
              <w:t>2023</w:t>
            </w:r>
          </w:p>
        </w:tc>
        <w:tc>
          <w:tcPr>
            <w:tcW w:type="dxa" w:w="1728"/>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89 إشارة جزائرية</w:t>
            </w:r>
          </w:p>
        </w:tc>
        <w:tc>
          <w:tcPr>
            <w:tcW w:type="dxa" w:w="1728"/>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4,885 فيديو من 10 مشاركين</w:t>
            </w:r>
          </w:p>
        </w:tc>
        <w:tc>
          <w:tcPr>
            <w:tcW w:type="dxa" w:w="1728"/>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تحليل لغوي-حركي مفصل (تشكيل اليد، الموضع، المسار، الديناميكية)؛ ومعه نظام SignAtlas القائم على المشفر الذاتي (Autoencoder)</w:t>
            </w:r>
          </w:p>
        </w:tc>
      </w:tr>
      <w:tr>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pPr>
            <w:r/>
            <w:r>
              <w:rPr>
                <w:rFonts w:ascii="Times New Roman" w:hAnsi="Times New Roman"/>
                <w:color w:val="1A1A2E"/>
                <w:sz w:val="20"/>
              </w:rPr>
              <w:t>VDzSL (Ouargani &amp; El Khattabi)</w:t>
            </w:r>
          </w:p>
        </w:tc>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pPr>
            <w:r/>
            <w:r>
              <w:rPr>
                <w:rFonts w:ascii="Times New Roman" w:hAnsi="Times New Roman"/>
                <w:color w:val="1A1A2E"/>
                <w:sz w:val="20"/>
              </w:rPr>
              <w:t>2026</w:t>
            </w:r>
          </w:p>
        </w:tc>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إشارات جزائرية مولّدة</w:t>
            </w:r>
          </w:p>
        </w:tc>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فيديوهات اصطناعية بشخصيات ثلاثية الأبعاد</w:t>
            </w:r>
          </w:p>
        </w:tc>
        <w:tc>
          <w:tcPr>
            <w:tcW w:type="dxa" w:w="1728"/>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مدوّنة اصطناعية (Synthetic) تهدف إلى توسيع بيانات التدريب وتجاوز ندرة الفيديو الطبيعي</w:t>
            </w:r>
          </w:p>
        </w:tc>
      </w:tr>
    </w:tbl>
    <w:p>
      <w:pPr>
        <w:spacing w:after="120"/>
      </w:pPr>
    </w:p>
    <w:p>
      <w:pPr>
        <w:spacing w:after="160" w:line="276" w:lineRule="auto"/>
        <w:jc w:val="right"/>
        <w:bidi w:val="1"/>
      </w:pPr>
      <w:r>
        <w:rPr>
          <w:rFonts w:ascii="Times New Roman" w:hAnsi="Times New Roman"/>
          <w:color w:val="1A1A2E"/>
          <w:sz w:val="22"/>
          <w:rtl w:val="1"/>
        </w:rPr>
        <w:t>ويُظهر الجدول ثلاث ملاحظات جوهرية: أولاً، أن الحقل وُلد متأخراً (2023) لكنه يتطور بوتيرة سريعة نحو التنوع المنهجي (طبيعي/اصطناعي، إفرادي/جماعي)؛ وثانياً، أن الحجوم تبقى متواضعةً قياساً بالمعايير الدولية (المدونات العالمية الكبرى تتجاوز عشرات آلاف المقاطع وأحياناً مئاتها)، وثالثاً، أن المساعي ما تزال في طور الإشارات المعزولة دون الجمل المتصلة، وهي خطوةٌ لاحقة ضرورية لأي تطبيق تواصلي حقيقي.</w:t>
      </w:r>
    </w:p>
    <w:p>
      <w:pPr>
        <w:pStyle w:val="Heading2"/>
        <w:spacing w:before="240" w:after="80"/>
        <w:jc w:val="right"/>
        <w:bidi w:val="1"/>
        <w:pBdr>
          <w:bottom w:val="single" w:sz="6" w:space="3" w:color="16213E"/>
        </w:pBdr>
      </w:pPr>
      <w:r>
        <w:rPr>
          <w:rFonts w:ascii="Times New Roman" w:hAnsi="Times New Roman"/>
          <w:b/>
          <w:color w:val="16213E"/>
          <w:sz w:val="30"/>
          <w:rtl w:val="1"/>
        </w:rPr>
        <w:t>7.3 أعمال التعرف والترجمة: عرضٌ تحليلي</w:t>
      </w:r>
    </w:p>
    <w:p>
      <w:pPr>
        <w:spacing w:after="160" w:line="276" w:lineRule="auto"/>
        <w:jc w:val="right"/>
        <w:bidi w:val="1"/>
      </w:pPr>
      <w:r>
        <w:rPr>
          <w:rFonts w:ascii="Times New Roman" w:hAnsi="Times New Roman"/>
          <w:color w:val="1A1A2E"/>
          <w:sz w:val="22"/>
          <w:rtl w:val="1"/>
        </w:rPr>
        <w:t>أما على مستوى النمذجة والتطبيق، فيمكن تصنيف الأعمال الجزائرية المنشورة حديثاً في أربع فئات متكاملة: فئة المدوّنات المرفقة بنماذج أولية، كدراسة (Kheldoun, Kouar &amp; Kouar, 2023) التي قدّمت مع مدوّنتها ALGSL89 تحليلاً مفصلاً للمكونات الصغرى للإشارة (شكل اليد، الموضع، المسار، الحركة) واختبرت مجموعة نماذج تعلم عميق، وصولاً إلى نظامها SignAtlas المبني على المشفر الذاتي؛ وفئة الأنظمة اللحظية، حيث نشرت أعمالٌ (2024) أنظمةَ تعرفٍ لحظي على الإشارة الجزائرية بالتعلم العميق قابلةً للعمل على الفيديو المباشر، في خطوةٍ نحو التطبيق العملي؛ وفئة التطبيقات القطاعية، ويمثلها عمل (Bellil, Ghiri &amp; Boulesnane, 2024) الذي صمم نظام تعرف على الإشارة الجزائرية قائماً على شبكة التفافية أحادية البعد (1D-CNN) في سياق التواصل الصحي (استقبال الصم في المؤسسات الاستشفائية)، وهو اتجاه يربط المعالجة الآلية باحتياج اجتماعي ملح؛ وفئة الترجمة والإنتاج الآلي، ويُمثلها المشروع الجزائري الذي قدّم نظام ترجمةٍ آلي للغة الإشارة العربية الجزائرية بشخصية افتراضية ثلاثية الأبعاد (Mami et al., 2025): نظامٌ يعتمد ترميز الإشارات وفق تدوين هامبورغ (HamNoSys) ونظام التدوين NSM، أُنجز بتعاون مباشر مع خبراء صمّ في كل مراحله، وبلغت دقة معجمه المكوَّن من 417 كلمة نسبة 75.53%، مع الإقرار بفرص التحسين؛ وقد نُشر هذا العمل في دورية «نفاذ» المتخصصة في الإتاحة الرقمية (مركز مدى، قطر) وبذلك يدخل في دائرة الاهتمام الإقليمي بالإتاحة.</w:t>
      </w:r>
    </w:p>
    <w:p>
      <w:pPr>
        <w:spacing w:after="160" w:line="276" w:lineRule="auto"/>
        <w:jc w:val="right"/>
        <w:bidi w:val="1"/>
      </w:pPr>
      <w:r>
        <w:rPr>
          <w:rFonts w:ascii="Times New Roman" w:hAnsi="Times New Roman"/>
          <w:color w:val="1A1A2E"/>
          <w:sz w:val="22"/>
          <w:rtl w:val="1"/>
        </w:rPr>
        <w:t>وعلى الصعيد الإقليمي التكميلي، كشفت دراسة (Algethami et al., 2025) المنشورة في مجلة Sensors عن نماذج للتعرف المستمر على لغة الإشارة العربية تضمّنت اختباراً على مدوّنة ALGSL89 الجزائرية، مما يؤكد أن المدوّنات الجزائرية بدأت تُستقطب في التجارب الإقليمية الأوسع، ويبرز في الآن ذاته إشكاليةً منهجية: إذ يتعين الحذر من «امتصاص» الخصوصية الجزائرية في مشاريع توحيد عربية تُدرب وتُقيّم على خلطٍ من اللهجات الإشارية، وهو ما يعيدنا إلى الملاحظة المصطلحية السابقة.</w:t>
      </w:r>
    </w:p>
    <w:p>
      <w:pPr>
        <w:pStyle w:val="Heading2"/>
        <w:spacing w:before="240" w:after="80"/>
        <w:jc w:val="right"/>
        <w:bidi w:val="1"/>
        <w:pBdr>
          <w:bottom w:val="single" w:sz="6" w:space="3" w:color="16213E"/>
        </w:pBdr>
      </w:pPr>
      <w:r>
        <w:rPr>
          <w:rFonts w:ascii="Times New Roman" w:hAnsi="Times New Roman"/>
          <w:b/>
          <w:color w:val="16213E"/>
          <w:sz w:val="30"/>
          <w:rtl w:val="1"/>
        </w:rPr>
        <w:t>7.4 قراءة نقدية للحصيلة</w:t>
      </w:r>
    </w:p>
    <w:p>
      <w:pPr>
        <w:spacing w:after="160" w:line="276" w:lineRule="auto"/>
        <w:jc w:val="right"/>
        <w:bidi w:val="1"/>
      </w:pPr>
      <w:r>
        <w:rPr>
          <w:rFonts w:ascii="Times New Roman" w:hAnsi="Times New Roman"/>
          <w:color w:val="1A1A2E"/>
          <w:sz w:val="22"/>
          <w:rtl w:val="1"/>
        </w:rPr>
        <w:t>تسمح الحصيلة السابقة بصياغة جملة استنتاجات نقدية: أولاً، إن الحقل الجزائري يعيش «نافذة تأسيسية» (2023-2026) يتميز فيها بالريادة الإقليمية وبسخاء الأفكار، لكنه يفتقر إلى التنسيق بين الفرق (تُلاحظ تعدد المبادرات المنعزلة) وإلى الاستمرارية (المشاريع الجامعية غالباً ما تكون مشاريع تخرج أو أوراقاً بحثية دون برامج وطنية ممولة)؛ وثانياً، تسود مرحلة الإشارات المعزولة والمدوّنات الصغيرة، بينما تبقى الجمل المتصلة والترجمة الثنائية الاتجاه وإنتاج الإشارة في بدايتها، وهي المراحل الأغلى كلفةً والأعلى أثراً اجتماعياً؛ وثالثاً، تشكل نسبة إشراك الصم متفاوتةً بين الأعمال، ومبدأ «لا شيء عنا بدوننا» لم يُصبح بعدُ معيارَ جودةٍ إلزامياً في تصميم المدوّنات وتقييم الأنظمة؛ ورابعاً، تكاد تنعدم الصلة بين الأعمال الهندسية والمؤسسات اللغوية الوطنية (مدارس الصم، القاموس الوطني، الجمعيات)، مما يجعل النماذج تخاطر بالابتعاد عن الممارسة اللغوية الحية.</w:t>
      </w:r>
    </w:p>
    <w:p>
      <w:pPr>
        <w:pStyle w:val="Heading2"/>
        <w:spacing w:before="240" w:after="80"/>
        <w:jc w:val="right"/>
        <w:bidi w:val="1"/>
        <w:pBdr>
          <w:bottom w:val="single" w:sz="6" w:space="3" w:color="16213E"/>
        </w:pBdr>
      </w:pPr>
      <w:r>
        <w:rPr>
          <w:rFonts w:ascii="Times New Roman" w:hAnsi="Times New Roman"/>
          <w:b/>
          <w:color w:val="16213E"/>
          <w:sz w:val="30"/>
          <w:rtl w:val="1"/>
        </w:rPr>
        <w:t>7.5 التطبيقات والمشاريع العملية: حصرٌ أولي مُتحقَّق منه</w:t>
      </w:r>
    </w:p>
    <w:p>
      <w:pPr>
        <w:spacing w:after="160" w:line="276" w:lineRule="auto"/>
        <w:jc w:val="right"/>
        <w:bidi w:val="1"/>
      </w:pPr>
      <w:r>
        <w:rPr>
          <w:rFonts w:ascii="Times New Roman" w:hAnsi="Times New Roman"/>
          <w:color w:val="1A1A2E"/>
          <w:sz w:val="22"/>
          <w:rtl w:val="1"/>
        </w:rPr>
        <w:t>لا يقتصر الحراك الجزائري على الأوراق العلمية والمدوّنات؛ إذ رافقتْه منذ 2024 مبادراتٌ تطبيقية موجَّهة لمجتمع الصمّ ولعموم المستخدمين. يعرض هذا القسم أبرزَ ما رُصِد منها، مع الفصل الصريح بين ما توثَّق بمصدرٍ رسمي أو علمي يمكن التحقق منه، وما تداولته مصادر إلكترونية غير رسمية دون وثيقة منشورة؛ لأن خلط الصنفين يُضعف مصداقية أي حصر علمي.</w:t>
      </w:r>
    </w:p>
    <w:p>
      <w:pPr>
        <w:spacing w:after="160" w:line="276" w:lineRule="auto"/>
        <w:jc w:val="right"/>
        <w:bidi w:val="1"/>
      </w:pPr>
      <w:r>
        <w:rPr>
          <w:rFonts w:ascii="Times New Roman" w:hAnsi="Times New Roman"/>
          <w:b/>
          <w:color w:val="1A1A2E"/>
          <w:sz w:val="22"/>
          <w:rtl w:val="1"/>
        </w:rPr>
        <w:t>أ. تطبيق «BarkiASL» (2025) — قاموس محمول يعمل دون اتصال:</w:t>
      </w:r>
      <w:r>
        <w:rPr>
          <w:rFonts w:ascii="Times New Roman" w:hAnsi="Times New Roman"/>
          <w:color w:val="1A1A2E"/>
          <w:sz w:val="22"/>
          <w:rtl w:val="1"/>
        </w:rPr>
        <w:t xml:space="preserve"> طوّره المبرمج الجزائري محمد باركي (المدية)، ويقدّم البحث في قاموس لغة الإشارة الجزائرية دون اتصال بالأنترنت، مدعوماً برسومات توضيحية وفيديوهات، مع نسخةٍ كاملة (BarkiASL) ونسخةٍ خفيفة (BarkiASL Lite)؛ وآخر تحديثٍ له بتاريخ 19 أفريل 2025، وتجاوز عدد تحميلاته ألفَ تحميل على متجر Google Play (Barki, 2025). ويمثل التطبيق نموذجَ «المبادرة الفردية» التي تسبق المؤسسات، غير أن قيمته اللغوية تبقى رهينةَ مدى مطابقة محتواه للقاموس الوطني الموحد.</w:t>
      </w:r>
    </w:p>
    <w:p>
      <w:pPr>
        <w:spacing w:after="160" w:line="276" w:lineRule="auto"/>
        <w:jc w:val="right"/>
        <w:bidi w:val="1"/>
      </w:pPr>
      <w:r>
        <w:rPr>
          <w:rFonts w:ascii="Times New Roman" w:hAnsi="Times New Roman"/>
          <w:b/>
          <w:color w:val="1A1A2E"/>
          <w:sz w:val="22"/>
          <w:rtl w:val="1"/>
        </w:rPr>
        <w:t>ب. منصة LSA المنسوبة إلى المدرسة العليا لأساتذة الصم والبكم — إشارةٌ غير موثَّقة بعد:</w:t>
      </w:r>
      <w:r>
        <w:rPr>
          <w:rFonts w:ascii="Times New Roman" w:hAnsi="Times New Roman"/>
          <w:color w:val="1A1A2E"/>
          <w:sz w:val="22"/>
          <w:rtl w:val="1"/>
        </w:rPr>
        <w:t xml:space="preserve"> المدرسة العليا لأساتذة الصم والبكم (بني مسوس، الجزائر العاصمة) مؤسسةٌ حقيقية انطلق التدريس بها في أكتوبر 2022 (وزارة التعليم العالي والبحث العلمي، 2022). غير أن ما يُتداول في وسائط التواصل من «منصة» تقدم ترجمةً فوريةً ثنائية الاتجاه للغة الإشارة الجزائرية (إشارة ↔ نص) بشخصية افتراضية ثلاثية الأبعاد وبأدوات مثل MediaPipe وTensorFlow.js وThree.js — لم نعثر له حتى تاريخ إعداد هذا الحصر على وثيقة رسمية (موقع الوزارة أو صفحة المدرسة المعتمدة) أو منشور علمي؛ لذا يُوصى باعتماده «مشروعاً معلَناً قيد التطوير» يتعين التحققُ منه لدى إدارة المدرسة قبل إدراجه ضمن الإنجازات الموثقة.</w:t>
      </w:r>
    </w:p>
    <w:p>
      <w:pPr>
        <w:spacing w:after="160" w:line="276" w:lineRule="auto"/>
        <w:jc w:val="right"/>
        <w:bidi w:val="1"/>
      </w:pPr>
      <w:r>
        <w:rPr>
          <w:rFonts w:ascii="Times New Roman" w:hAnsi="Times New Roman"/>
          <w:b/>
          <w:color w:val="1A1A2E"/>
          <w:sz w:val="22"/>
          <w:rtl w:val="1"/>
        </w:rPr>
        <w:t>ج. مدوّنة «3DZSignDB» ومسار الأفاتار ثلاثي الأبعاد (Zerrouki, Slimani, Mami &amp; Mazari, 2025):</w:t>
      </w:r>
      <w:r>
        <w:rPr>
          <w:rFonts w:ascii="Times New Roman" w:hAnsi="Times New Roman"/>
          <w:color w:val="1A1A2E"/>
          <w:sz w:val="22"/>
          <w:rtl w:val="1"/>
        </w:rPr>
        <w:t xml:space="preserve"> نُشرت بياناتُ المشروع في دورية Data in Brief (المجلد 60، المادة 111568) بمصدرٍ مفتوح، وتضم 417 إشارةً جزائرية مرمَّزة بترميز هامبورغ (HamNoSys) ومخزَّنةً بصيغة SiGML لتوليد حركات الشخصية الافتراضية؛ وهي الامتداد البياناتي للمقال العربي المنشور في دورية «نفاذ» (مركز مدى للتكنولوجيا المساعدة، قطر، العدد 28) الذي وثّق نظام الترجمة ذاته بدقةٍ إجمالية بلغت 75.53% — تكاملٌ نادر بين النشر العربي المتخصص في الإتاحة والنشر الدولي المفتوح للبيانات. ويطرح هذا المسار (الترميز اللغوي الصريح ثم التوليد الحركي) بديلاً منهجياً عن التعرف البصري المباشر.</w:t>
      </w:r>
    </w:p>
    <w:p>
      <w:pPr>
        <w:spacing w:after="160" w:line="276" w:lineRule="auto"/>
        <w:jc w:val="right"/>
        <w:bidi w:val="1"/>
      </w:pPr>
      <w:r>
        <w:rPr>
          <w:rFonts w:ascii="Times New Roman" w:hAnsi="Times New Roman"/>
          <w:b/>
          <w:color w:val="1A1A2E"/>
          <w:sz w:val="22"/>
          <w:rtl w:val="1"/>
        </w:rPr>
        <w:t>د. نظام التعرف اللحظي المعتمد على مدوّنة ALGSL89 (Kheldoun, Kouar &amp; Kouar, 2024):</w:t>
      </w:r>
      <w:r>
        <w:rPr>
          <w:rFonts w:ascii="Times New Roman" w:hAnsi="Times New Roman"/>
          <w:color w:val="1A1A2E"/>
          <w:sz w:val="22"/>
          <w:rtl w:val="1"/>
        </w:rPr>
        <w:t xml:space="preserve"> في ورقةٍ منشورة بالمجلة الدولية للحوسبة والأنظمة الرقمية (IJCDS، المجلد 15، العدد 1، ص 713–722) قدّم الفريق نفسه (جامعة يحيى فارس، المدية) نظامَ تعرفٍ لحظي على الإشارة الجزائرية يُشغَّل عبر كاميرا الويب، قائماً على معمارية مشفِّرٍ ذاتي تجمع بين الشبكات الالتفافية (CNN) لالتقاط الخصائص المكانية وشبكات الذاكرة الطويلة-قصيرة المدى (LSTM) للخصائص الزمنية مع آلية انتباه، ويستخرج نقاطَ اليد (21 نقطة لكل يد) بمكتبة MediaPipe بعد معالجةٍ مسبقة لاختيار الأطر المرجعية؛ وحقق دقة تحققٍ بلغت 98.99% على مدوّنة ALGSL89، وهي النسبة التي تُستشهد بها غالباً عند التعريف بهذا الخط البحثي.</w:t>
      </w:r>
    </w:p>
    <w:p>
      <w:pPr>
        <w:spacing w:after="160" w:line="276" w:lineRule="auto"/>
        <w:jc w:val="right"/>
        <w:bidi w:val="1"/>
      </w:pPr>
      <w:r>
        <w:rPr>
          <w:rFonts w:ascii="Times New Roman" w:hAnsi="Times New Roman"/>
          <w:b/>
          <w:color w:val="1A1A2E"/>
          <w:sz w:val="22"/>
          <w:rtl w:val="1"/>
        </w:rPr>
        <w:t>هـ. مشروع جامعة المسيلة للتعرف المستمر ثنائي الاتجاه — غير موثَّق:</w:t>
      </w:r>
      <w:r>
        <w:rPr>
          <w:rFonts w:ascii="Times New Roman" w:hAnsi="Times New Roman"/>
          <w:color w:val="1A1A2E"/>
          <w:sz w:val="22"/>
          <w:rtl w:val="1"/>
        </w:rPr>
        <w:t xml:space="preserve"> يُتداول وصفُ مشروعٍ جامعي (المسيلة) لنظام ترجمةٍ مستمرةٍ ثنائية الاتجاه في الزمن الحقيقي يجمع محوِّلاً خفيفاً ونموذجاً لغوياً كبيراً (LLM) وإخراجاً صوتياً، مع خطة تكييفه مع اللغة الجزائرية عبر جمع بيانات من المجتمع المحلي؛ ولم نعثر له على أثرٍ في المستودعات المتاحة (مستودعات الأطروحات وقواعد النشر المفهرسة)، فيبقى إشارةً غير مؤكدة يُنصح بتتبعها عبر المكتبة الجامعية لجامعة المسيلة.</w:t>
      </w:r>
    </w:p>
    <w:tbl>
      <w:tblPr>
        <w:tblW w:type="auto" w:w="0"/>
        <w:tblLook w:firstColumn="1" w:firstRow="1" w:lastColumn="0" w:lastRow="0" w:noHBand="0" w:noVBand="1" w:val="04A0"/>
      </w:tblPr>
      <w:tblGrid>
        <w:gridCol w:w="8640"/>
      </w:tblGrid>
      <w:tr>
        <w:tc>
          <w:tcPr>
            <w:tcW w:type="dxa" w:w="8640"/>
            <w:shd w:val="clear" w:color="auto" w:fill="F8FAFC"/>
            <w:tcBorders>
              <w:top w:val="single" w:sz="4" w:space="0" w:color="F8FAFC"/>
              <w:left w:val="single" w:sz="24" w:space="0" w:color="64748B"/>
              <w:bottom w:val="single" w:sz="4" w:space="0" w:color="F8FAFC"/>
              <w:right w:val="single" w:sz="4" w:space="0" w:color="F8FAFC"/>
            </w:tcBorders>
          </w:tcPr>
          <w:p>
            <w:pPr>
              <w:spacing w:before="120" w:after="120"/>
              <w:jc w:val="right"/>
              <w:bidi w:val="1"/>
            </w:pPr>
            <w:r>
              <w:rPr>
                <w:rFonts w:ascii="Times New Roman" w:hAnsi="Times New Roman"/>
                <w:b/>
                <w:color w:val="64748B"/>
                <w:sz w:val="18"/>
              </w:rPr>
              <w:t xml:space="preserve">NOTE  </w:t>
            </w:r>
            <w:r>
              <w:rPr>
                <w:rFonts w:ascii="Times New Roman" w:hAnsi="Times New Roman"/>
                <w:color w:val="1A1A2E"/>
                <w:sz w:val="20"/>
                <w:rtl w:val="1"/>
              </w:rPr>
              <w:t>**ملاحظة منهجية حول عدد الصم في الجزائر:** تتباين الأرقام المتداولة بحسب منهجية الإحصاء؛ فتقديراتٌ تكتفي بالمسجَّلين لدى الجمعيات تُحصر العدد في نحو 80 ألف شخص، بينما تقديراتٌ أوسع (تشمل مختلف درجات الضعف السمعي) ترفعه إلى ما يزيد على نصف مليون شخص، منهم نحو مئة ألف متمدرس. اعتمدت هذه المداخلة التقديرَ الواسع، مع التنبيه هنا إلى وجود تقديراتٍ أدنى؛ إذ يظل الرقم محلَّ خلافٍ إحصائي لا يُحسم في متنٍ علمي دون مصدرٍ مسحي موثوق.</w:t>
            </w:r>
          </w:p>
        </w:tc>
      </w:tr>
    </w:tbl>
    <w:p>
      <w:pPr>
        <w:spacing w:after="80"/>
      </w:pPr>
    </w:p>
    <w:p>
      <w:pPr>
        <w:spacing w:after="160" w:line="276" w:lineRule="auto"/>
        <w:jc w:val="right"/>
        <w:bidi w:val="1"/>
      </w:pPr>
      <w:r>
        <w:rPr>
          <w:rFonts w:ascii="Times New Roman" w:hAnsi="Times New Roman"/>
          <w:color w:val="1A1A2E"/>
          <w:sz w:val="22"/>
          <w:rtl w:val="1"/>
        </w:rPr>
        <w:t>خلاصةٌ عملية: أقربُ ما يمكن للمواطن الجزائري تحميلُه اليوم هو تطبيق «BarkiASL»؛ ويمثل الخطان الموثقان — «3DZSignDB / نفاذ» و«IJCDS-ALGSL89» — أقوى ما أنتجته الجامعة الجزائرية من أنظمةٍ تطبيقية؛ أما منصةُ المدرسة العليا ومشروعُ المسيلة فمشروعان معلَنان يتعين استكمالُ وثائقهما قبل اعتمادهما في أي حصرٍ علمي.</w:t>
      </w: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Times New Roman" w:hAnsi="Times New Roman"/>
                <w:b/>
                <w:color w:val="059669"/>
                <w:sz w:val="18"/>
              </w:rPr>
              <w:t xml:space="preserve">TIP  </w:t>
            </w:r>
            <w:r>
              <w:rPr>
                <w:rFonts w:ascii="Times New Roman" w:hAnsi="Times New Roman"/>
                <w:color w:val="1A1A2E"/>
                <w:sz w:val="20"/>
                <w:rtl w:val="1"/>
              </w:rPr>
              <w:t>خلاصة المحور: يمكن القول إن لغة الإشارة الجزائرية انتقلت خلال ثلاث سنوات من «غيابٍ رقمي شبه كامل» إلى «مرحلة تأسيس مدوّنات وأنظمة أولى»، وهي قفزةٌ نوعية تستحق البناء عليها وفق برنامجٍ وطنيٍّ منسق، لا وفق مبادراتٍ متفرقة.</w:t>
            </w:r>
          </w:p>
        </w:tc>
      </w:tr>
    </w:tbl>
    <w:p>
      <w:pPr>
        <w:spacing w:after="80"/>
      </w:pPr>
    </w:p>
    <w:p>
      <w:r>
        <w:br w:type="page"/>
      </w:r>
    </w:p>
    <w:p>
      <w:pPr>
        <w:pStyle w:val="Heading1"/>
        <w:spacing w:before="360" w:after="160"/>
        <w:jc w:val="right"/>
        <w:keepNext/>
        <w:bidi w:val="1"/>
        <w:pBdr>
          <w:bottom w:val="single" w:sz="12" w:space="6" w:color="B91C1C"/>
        </w:pBdr>
      </w:pPr>
      <w:r>
        <w:rPr>
          <w:rFonts w:ascii="Times New Roman" w:hAnsi="Times New Roman"/>
          <w:b/>
          <w:color w:val="1A1A2E"/>
          <w:sz w:val="44"/>
          <w:rtl w:val="1"/>
        </w:rPr>
        <w:t>8. التحديات والرهانات المنهجية والأخلاقية</w:t>
      </w:r>
    </w:p>
    <w:p>
      <w:pPr>
        <w:spacing w:after="160" w:line="276" w:lineRule="auto"/>
        <w:jc w:val="right"/>
        <w:bidi w:val="1"/>
      </w:pPr>
      <w:r>
        <w:rPr>
          <w:rFonts w:ascii="Times New Roman" w:hAnsi="Times New Roman"/>
          <w:color w:val="1A1A2E"/>
          <w:sz w:val="22"/>
          <w:rtl w:val="1"/>
        </w:rPr>
        <w:t>لا يمكن الحديث عن آفاق توظيف الذكاء الاصطناعي في خدمة لغة الإشارة الجزائرية دون ضبطٍ علميٍّ للتحديات التي تعترض هذا المسار؛ ويمكن تصنيفها في أربع مستويات مترابطة.</w:t>
      </w:r>
    </w:p>
    <w:p>
      <w:pPr>
        <w:pStyle w:val="Heading2"/>
        <w:spacing w:before="240" w:after="80"/>
        <w:jc w:val="right"/>
        <w:bidi w:val="1"/>
        <w:pBdr>
          <w:bottom w:val="single" w:sz="6" w:space="3" w:color="16213E"/>
        </w:pBdr>
      </w:pPr>
      <w:r>
        <w:rPr>
          <w:rFonts w:ascii="Times New Roman" w:hAnsi="Times New Roman"/>
          <w:b/>
          <w:color w:val="16213E"/>
          <w:sz w:val="30"/>
          <w:rtl w:val="1"/>
        </w:rPr>
        <w:t>8.1 تحديات لغوية-اجتماعية</w:t>
      </w:r>
    </w:p>
    <w:p>
      <w:pPr>
        <w:spacing w:after="60"/>
        <w:ind w:right="504"/>
        <w:jc w:val="right"/>
        <w:bidi w:val="1"/>
      </w:pPr>
      <w:r>
        <w:rPr>
          <w:rFonts w:ascii="Times New Roman" w:hAnsi="Times New Roman"/>
          <w:color w:val="1A1A2E"/>
          <w:sz w:val="22"/>
          <w:rtl w:val="1"/>
        </w:rPr>
        <w:t>التباين الإشاري الجهوي وتعدد الإشارات للمفهوم الواحد، مما يستدعي قرارات معجمية (أي إشارة «معيارية» تُعتمد في التدريب؟) لا يمكن حسمها تقنياً بل لغوياً-اجتماعياً.</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فجوة المعجم الموحد (الرسمي) عن الاستعمال الحي، وقد تُنتج نماذجُ مدرَّبة على المعجم الموحد إشاراتٍ «صحيحة رسمياً» غير مفهومة لدى الصم خارج السياق المدرسي.</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الدور النحوي للقنوات غير اليدوية (تعبيرات الوجه وحركات الرأس والفم) التي تهملها أغلب المدوّنات الحالية في التقطيع والوسم، فيبقى النموذج قاصراً عن تمييز الجمل الاستفهامية والنفي عن الإثبات، مثلاً.</w:t>
      </w:r>
      <w:r>
        <w:rPr>
          <w:rFonts w:ascii="Times New Roman" w:hAnsi="Times New Roman"/>
          <w:color w:val="B91C1C"/>
          <w:sz w:val="22"/>
        </w:rPr>
        <w:t xml:space="preserve">  •</w:t>
      </w:r>
    </w:p>
    <w:p>
      <w:pPr>
        <w:pStyle w:val="Heading2"/>
        <w:spacing w:before="240" w:after="80"/>
        <w:jc w:val="right"/>
        <w:bidi w:val="1"/>
        <w:pBdr>
          <w:bottom w:val="single" w:sz="6" w:space="3" w:color="16213E"/>
        </w:pBdr>
      </w:pPr>
      <w:r>
        <w:rPr>
          <w:rFonts w:ascii="Times New Roman" w:hAnsi="Times New Roman"/>
          <w:b/>
          <w:color w:val="16213E"/>
          <w:sz w:val="30"/>
          <w:rtl w:val="1"/>
        </w:rPr>
        <w:t>8.2 تحديات البيانات والتقنية</w:t>
      </w:r>
    </w:p>
    <w:p>
      <w:pPr>
        <w:spacing w:after="60"/>
        <w:ind w:right="504"/>
        <w:jc w:val="right"/>
        <w:bidi w:val="1"/>
      </w:pPr>
      <w:r>
        <w:rPr>
          <w:rFonts w:ascii="Times New Roman" w:hAnsi="Times New Roman"/>
          <w:color w:val="1A1A2E"/>
          <w:sz w:val="22"/>
          <w:rtl w:val="1"/>
        </w:rPr>
        <w:t>ندرة الفيديو المصنَّف وارتفاع كلفة التقطيع والوسم اللغوي الدقيق، الذي يتطلب مترجمين صمّاً ولسانيي إشارة لا مهندسين فقط.</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الخصوصية: بيانات الإشارة تتضمن الوجه والجسد، وهي معطيات بيومترية حساسة تتطلب موافقة مستنيرة وضوابط تخزين، وهو ما قد يثني الأفراد عن المشاركة في غياب ثقةٍ مؤسساتية.</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الاعتماد على أجهزة استشعار أو أدوات تقديرٍ هيكلي (Pose) حساسة للإضاءة والخلفية وملابس المستخدم، مما يحد من الانتقال من المختبر إلى الاستعمال اليومي.</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التكلفة الحاسوبية لنماذج الفيديو العميقة، التي قد تفوق قدرات المخابر الجامعية الجزائرية دون بنية تحتية للحوسبة عالية الأداء.</w:t>
      </w:r>
      <w:r>
        <w:rPr>
          <w:rFonts w:ascii="Times New Roman" w:hAnsi="Times New Roman"/>
          <w:color w:val="B91C1C"/>
          <w:sz w:val="22"/>
        </w:rPr>
        <w:t xml:space="preserve">  •</w:t>
      </w:r>
    </w:p>
    <w:p>
      <w:pPr>
        <w:pStyle w:val="Heading2"/>
        <w:spacing w:before="240" w:after="80"/>
        <w:jc w:val="right"/>
        <w:bidi w:val="1"/>
        <w:pBdr>
          <w:bottom w:val="single" w:sz="6" w:space="3" w:color="16213E"/>
        </w:pBdr>
      </w:pPr>
      <w:r>
        <w:rPr>
          <w:rFonts w:ascii="Times New Roman" w:hAnsi="Times New Roman"/>
          <w:b/>
          <w:color w:val="16213E"/>
          <w:sz w:val="30"/>
          <w:rtl w:val="1"/>
        </w:rPr>
        <w:t>8.3 تحديات منهجية</w:t>
      </w:r>
    </w:p>
    <w:p>
      <w:pPr>
        <w:spacing w:after="60"/>
        <w:ind w:right="504"/>
        <w:jc w:val="right"/>
        <w:bidi w:val="1"/>
      </w:pPr>
      <w:r>
        <w:rPr>
          <w:rFonts w:ascii="Times New Roman" w:hAnsi="Times New Roman"/>
          <w:color w:val="1A1A2E"/>
          <w:sz w:val="22"/>
          <w:rtl w:val="1"/>
        </w:rPr>
        <w:t>غياب بروتوكولات وطنية موحدة لتجميع المدوّنات ووسمها، مما يجعل النتائج غير قابلة للمقارنة بين الدراسات.</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مشكلة تقييم الجودة: هل يكفي معدل الدقة على مجموعة اختبار؟ فالنسبة 75.53% في معجم مكوَّن من 417 كلمة مثلاً تعكس أداءً محسوباً على كلمات معزولة، بينما يتطلب القياسُ الحقيقي اختباراتٍ في سياقات تواصلية طبيعية (متحدثون جدد، ظروف إضاءة مختلفة، سرعات أداء متفاوتة).</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الترجمة الآلية للإشارة تتطلب تمثيلَ النحو المكاني المتزامن (Classifiers، الاستخدام المكاني) الذي لا تلتقطه الترميزات الخطية (Gloss) إلا بشكل مبسَّط.</w:t>
      </w:r>
      <w:r>
        <w:rPr>
          <w:rFonts w:ascii="Times New Roman" w:hAnsi="Times New Roman"/>
          <w:color w:val="B91C1C"/>
          <w:sz w:val="22"/>
        </w:rPr>
        <w:t xml:space="preserve">  •</w:t>
      </w:r>
    </w:p>
    <w:p>
      <w:pPr>
        <w:pStyle w:val="Heading2"/>
        <w:spacing w:before="240" w:after="80"/>
        <w:jc w:val="right"/>
        <w:bidi w:val="1"/>
        <w:pBdr>
          <w:bottom w:val="single" w:sz="6" w:space="3" w:color="16213E"/>
        </w:pBdr>
      </w:pPr>
      <w:r>
        <w:rPr>
          <w:rFonts w:ascii="Times New Roman" w:hAnsi="Times New Roman"/>
          <w:b/>
          <w:color w:val="16213E"/>
          <w:sz w:val="30"/>
          <w:rtl w:val="1"/>
        </w:rPr>
        <w:t>8.4 تحديات أخلاقية ومجتمعية</w:t>
      </w:r>
    </w:p>
    <w:p>
      <w:pPr>
        <w:spacing w:after="60"/>
        <w:ind w:right="504"/>
        <w:jc w:val="right"/>
        <w:bidi w:val="1"/>
      </w:pPr>
      <w:r>
        <w:rPr>
          <w:rFonts w:ascii="Times New Roman" w:hAnsi="Times New Roman"/>
          <w:color w:val="1A1A2E"/>
          <w:sz w:val="22"/>
          <w:rtl w:val="1"/>
        </w:rPr>
        <w:t>خطر أن تتحول تقنيات التعرف إلى أدوات مراقبة وضبط تُستخدم ضد الصم (كفحص نوايا أو تشخيص إجباري) إن لم تُحاط بضمانات حقوقية صريحة.</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مخاوف مجتمع الصم من إحلال الأتمتة محل المترجمين البشريين — من غير أن يوفر النظام مستوى الجودة المطلوب — وهي مخاوف مشروعة تفرض مقاربة «التكنولوجيا المساندة لا المعوِّضة».</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الانحياز: نماذج مدربة على لغات إشارة أخرى أو على لهجات إقليمية مختلفة تفشل على الإشارة الجزائرية، وقد تُنتج توصيات تقنية مضللة إذا لم تُختبر محلياً.</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غياب مشاركة الصم في الحوكمة البحثية (تمويل، مراجعة، نشر) يجعل هذه المشاريع عرضةً لأن تكون «عنهم دونهم»، في تعارضٍ صريحٍ مع المادة 4-3 من اتفاقية 2006 ومع مبدأ لا شيء عنا بدوننا.</w:t>
      </w:r>
      <w:r>
        <w:rPr>
          <w:rFonts w:ascii="Times New Roman" w:hAnsi="Times New Roman"/>
          <w:color w:val="B91C1C"/>
          <w:sz w:val="22"/>
        </w:rPr>
        <w:t xml:space="preserve">  •</w:t>
      </w:r>
    </w:p>
    <w:p>
      <w:pPr>
        <w:pStyle w:val="Heading1"/>
        <w:spacing w:before="360" w:after="160"/>
        <w:jc w:val="right"/>
        <w:keepNext/>
        <w:bidi w:val="1"/>
        <w:pBdr>
          <w:bottom w:val="single" w:sz="12" w:space="6" w:color="B91C1C"/>
        </w:pBdr>
      </w:pPr>
      <w:r>
        <w:rPr>
          <w:rFonts w:ascii="Times New Roman" w:hAnsi="Times New Roman"/>
          <w:b/>
          <w:color w:val="1A1A2E"/>
          <w:sz w:val="44"/>
          <w:rtl w:val="1"/>
        </w:rPr>
        <w:t>9. نحو خارطة طريق وطنية: توصياتٌ وتصورٌ إجرائي</w:t>
      </w:r>
    </w:p>
    <w:p>
      <w:pPr>
        <w:spacing w:after="160" w:line="276" w:lineRule="auto"/>
        <w:jc w:val="right"/>
        <w:bidi w:val="1"/>
      </w:pPr>
      <w:r>
        <w:rPr>
          <w:rFonts w:ascii="Times New Roman" w:hAnsi="Times New Roman"/>
          <w:color w:val="1A1A2E"/>
          <w:sz w:val="22"/>
          <w:rtl w:val="1"/>
        </w:rPr>
        <w:t>تأسيساً على ما تقدم، تقترح هذه المداخلة تصوراً إجرائياً متدرجاً لخارطة طريق وطنية تهدف إلى بناء «بنية تحتية لغوية-رقمية» للغة الإشارة الجزائرية في خدمة الإدماج، تقوم على مبدأ محوري: «اللغة أولاً، الخوارزمية ثانياً»؛ أي أن أي استثمار تقني يجب أن يسبقه ويؤطره توثيقٌ لغوي صارم بمشاركة مجتمع الصم. ويُلخص الجدول الآتي مراحل هذا التصور بالفاعلين والمؤشرات:</w:t>
      </w:r>
    </w:p>
    <w:tbl>
      <w:tblPr>
        <w:tblStyle w:val="TableGrid"/>
        <w:tblW w:type="auto" w:w="0"/>
        <w:tblLayout w:type="autofit"/>
        <w:tblLook w:firstColumn="1" w:firstRow="1" w:lastColumn="0" w:lastRow="0" w:noHBand="0" w:noVBand="1" w:val="04A0"/>
      </w:tblPr>
      <w:tblGrid>
        <w:gridCol w:w="2160"/>
        <w:gridCol w:w="2160"/>
        <w:gridCol w:w="2160"/>
        <w:gridCol w:w="2160"/>
      </w:tblGrid>
      <w:tr>
        <w:tc>
          <w:tcPr>
            <w:tcW w:type="dxa" w:w="2160"/>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المرحلة</w:t>
            </w:r>
          </w:p>
        </w:tc>
        <w:tc>
          <w:tcPr>
            <w:tcW w:type="dxa" w:w="2160"/>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المضمون</w:t>
            </w:r>
          </w:p>
        </w:tc>
        <w:tc>
          <w:tcPr>
            <w:tcW w:type="dxa" w:w="2160"/>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الفاعلون</w:t>
            </w:r>
          </w:p>
        </w:tc>
        <w:tc>
          <w:tcPr>
            <w:tcW w:type="dxa" w:w="2160"/>
            <w:shd w:val="clear" w:color="auto" w:fill="1A1A2E"/>
            <w:tcBorders>
              <w:top w:val="single" w:sz="4" w:space="0" w:color="1A1A2E"/>
              <w:left w:val="single" w:sz="4" w:space="0" w:color="1A1A2E"/>
              <w:bottom w:val="single" w:sz="4" w:space="0" w:color="1A1A2E"/>
              <w:right w:val="single" w:sz="4" w:space="0" w:color="1A1A2E"/>
            </w:tcBorders>
          </w:tcPr>
          <w:p>
            <w:pPr>
              <w:spacing w:before="80" w:after="80"/>
              <w:jc w:val="right"/>
              <w:bidi w:val="1"/>
            </w:pPr>
            <w:r/>
            <w:r>
              <w:rPr>
                <w:rFonts w:ascii="Times New Roman" w:hAnsi="Times New Roman"/>
                <w:b/>
                <w:color w:val="FFFFFF"/>
                <w:sz w:val="20"/>
                <w:rtl w:val="1"/>
              </w:rPr>
              <w:t>مؤشرات النجاح</w:t>
            </w:r>
          </w:p>
        </w:tc>
      </w:tr>
      <w:tr>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1. التوثيق والمعايرة اللغوية (0-12 شهراً)</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ضبط المرجعية: اعتماد القاموس الوطني الموحد قاعدةً مرجعية، تقييد التباين الجهوي، إعداد دليل وسم لغوي (تقطيع، قنوات غير يدوية، ترجمة إلى لغة وسيطة)</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وزارة التضامن الوطني، مدارس الصم، الجمعيات، لسانيو الإشارة</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دليل وسم وطني معتمد ومرجعية معجمية رقمية أولى</w:t>
            </w:r>
          </w:p>
        </w:tc>
      </w:tr>
      <w:tr>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2. بناء المدوّنات المرجعية (6-24 شهراً)</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تجميع مدوّنة وطنية مفتوحة متعددة الجهات والولايات والسن والجنس، بموافقة مستنيرة وضوابط خصوصية؛ إتاحتها للباحثين</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جامعات، مراكز بحث (CERIST ونظائرها)، مخابر معالجة الصورة، جمعيات الصم</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مدوّنة مفتوحة تفوق 50 ألف مقطع بإشارات معزولة وجمل متصلة</w:t>
            </w:r>
          </w:p>
        </w:tc>
      </w:tr>
      <w:tr>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3. النمذجة والتطوير (12-36 شهراً)</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تطوير أنظمة التعرف (معزول ثم متصل) والترجمة، بنقل التعلم من مدوّنات إقليمية وعالمية، وتقييم دوري بمشاركة الصم</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فرق متعددة التخصصات (هندسة × لسانيات × تربية)</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دقة معتمدة على اختبارات سياقية تتجاوز 90% على الإشارات المعزولة الأساسية</w:t>
            </w:r>
          </w:p>
        </w:tc>
      </w:tr>
      <w:tr>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4. التجريب الميداني (24-48 شهراً)</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تطبيقات تجريبية في قطاعات ذات أولوية: الصحة (الاستقبال)، العدالة، التعليم، الإدارة الرقمية</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وزارات (صحة، عدل، تربية)، مؤسسات عمومية، مترجمون</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تقرير تجريب، نسب رضا الصم والمهنيين، نماذج تصحيح</w:t>
            </w:r>
          </w:p>
        </w:tc>
      </w:tr>
      <w:tr>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5. التعميم والسياسات (48 شهراً فما بعد)</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إدماج الحلول في المنصات الوطنية للخدمات العمومية، اعتماد معيار وطني للتقييم، تكوين المترجمين والمهندسين، تشريع حماية البيانات</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الحكومة، الهيئة الوطنية للرقمنة، الجامعة، المجتمع المدني</w:t>
            </w:r>
          </w:p>
        </w:tc>
        <w:tc>
          <w:tcPr>
            <w:tcW w:type="dxa" w:w="2160"/>
            <w:shd w:val="clear" w:color="auto" w:fill="F0F0F5"/>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Times New Roman" w:hAnsi="Times New Roman"/>
                <w:color w:val="1A1A2E"/>
                <w:sz w:val="20"/>
                <w:rtl w:val="1"/>
              </w:rPr>
              <w:t>خدمة ترجمة آليّة للإشارة الجزائرية في منصات عمومية رائدة، ونظام تقييم وطني</w:t>
            </w:r>
          </w:p>
        </w:tc>
      </w:tr>
    </w:tbl>
    <w:p>
      <w:pPr>
        <w:spacing w:after="120"/>
      </w:pPr>
    </w:p>
    <w:p>
      <w:pPr>
        <w:pStyle w:val="Heading2"/>
        <w:spacing w:before="240" w:after="80"/>
        <w:jc w:val="right"/>
        <w:bidi w:val="1"/>
        <w:pBdr>
          <w:bottom w:val="single" w:sz="6" w:space="3" w:color="16213E"/>
        </w:pBdr>
      </w:pPr>
      <w:r>
        <w:rPr>
          <w:rFonts w:ascii="Times New Roman" w:hAnsi="Times New Roman"/>
          <w:b/>
          <w:color w:val="16213E"/>
          <w:sz w:val="30"/>
          <w:rtl w:val="1"/>
        </w:rPr>
        <w:t>9.1 توصيات خاصة</w:t>
      </w:r>
    </w:p>
    <w:p>
      <w:pPr>
        <w:spacing w:after="60"/>
        <w:ind w:right="504"/>
        <w:jc w:val="right"/>
        <w:bidi w:val="1"/>
      </w:pPr>
      <w:r>
        <w:rPr>
          <w:rFonts w:ascii="Times New Roman" w:hAnsi="Times New Roman"/>
          <w:color w:val="1A1A2E"/>
          <w:sz w:val="22"/>
          <w:rtl w:val="1"/>
        </w:rPr>
        <w:t>للمجتمع العلمي: تأسيس شبكة وطنية للبحوث في معالجة لغة الإشارة الجزائرية (لسانيات، هندسة، علوم التربية) تضمن تبادل المدوّنات والخبرات وتجنب تكرر الجهود؛ وتشجيع نشر المدوّنات في مجلات البيانات المفتوحة كـData in Brief لضمان الاستشهاد والاستدامة.</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للباحثين: اعتماد بروتوكولات توثيقية صارمة تلتقط القنوات غير اليدوية، ووسمٍ ثنائي (يدوي × آلي) تحت إشراف لسانيي إشارة؛ وتجريب نقل التعلم من لغات إشارة قريبة بنيوياً قبل بناء النماذج من الصفر.</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لصنّاع القرار: برمجة تمويلٍ متعدد السنوات لمشروع وطني للغة الإشارة الرقمية ضمن الاستراتيجية الوطنية للذكاء الاصطناعي؛ وإدماج بند «الإتاحة اللغوية للصم» في صفقات الرقمنة العمومية ومنصات الخدمة عن بعد.</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لمؤسسات التكوين: إدراج وحدة تكوينية مشتركة في الذكاء الاصطناعي ولغة الإشارة في مسارات اللسانيات وعلوم الحاسوب وعلوم التربية، وتكوين مترجمين صمّ في أدوات التكنولوجيا المساعدة.</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لمجتمع الصم وجمعياته: الانخراط الفاعل في اللجان العلمية للمشاريع، والمساهمة في المعايرة اللغوية والتقييم السياقي، ومطالبة المؤسسات بشفافية استخدام بياناتهم.</w:t>
      </w:r>
      <w:r>
        <w:rPr>
          <w:rFonts w:ascii="Times New Roman" w:hAnsi="Times New Roman"/>
          <w:color w:val="B91C1C"/>
          <w:sz w:val="22"/>
        </w:rPr>
        <w:t xml:space="preserve">  •</w:t>
      </w:r>
    </w:p>
    <w:p>
      <w:pPr>
        <w:spacing w:after="60"/>
        <w:ind w:right="504"/>
        <w:jc w:val="right"/>
        <w:bidi w:val="1"/>
      </w:pPr>
      <w:r>
        <w:rPr>
          <w:rFonts w:ascii="Times New Roman" w:hAnsi="Times New Roman"/>
          <w:color w:val="1A1A2E"/>
          <w:sz w:val="22"/>
          <w:rtl w:val="1"/>
        </w:rPr>
        <w:t>للإعلام: إنتاج محتوى رقمي بلغة الإشارة الجزائرية (أخبار، صحة، تعليم) بالشراكة مع المؤسسات الجامعية، لبناء قاعدة محتوى حية تغذي التدريب والاختبار معاً.</w:t>
      </w:r>
      <w:r>
        <w:rPr>
          <w:rFonts w:ascii="Times New Roman" w:hAnsi="Times New Roman"/>
          <w:color w:val="B91C1C"/>
          <w:sz w:val="22"/>
        </w:rPr>
        <w:t xml:space="preserve">  •</w:t>
      </w: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Times New Roman" w:hAnsi="Times New Roman"/>
                <w:b/>
                <w:color w:val="059669"/>
                <w:sz w:val="18"/>
              </w:rPr>
              <w:t xml:space="preserve">TIP  </w:t>
            </w:r>
            <w:r>
              <w:rPr>
                <w:rFonts w:ascii="Times New Roman" w:hAnsi="Times New Roman"/>
                <w:color w:val="1A1A2E"/>
                <w:sz w:val="20"/>
                <w:rtl w:val="1"/>
              </w:rPr>
              <w:t>مبدأ حاكم مقترح: كلُّ نظامٍ يُطوَّر للغة الإشارة الجزائرية يجب أن يجتاز اختبار «القبول المجتمعي»: تقييماً يقوم به مستعملون صمّ جدد (لم يشاركوا في التدريب)، في سياقات حقيقية، قبل أي اعتماد رسمي.</w:t>
            </w:r>
          </w:p>
        </w:tc>
      </w:tr>
    </w:tbl>
    <w:p>
      <w:pPr>
        <w:spacing w:after="80"/>
      </w:pPr>
    </w:p>
    <w:p>
      <w:r>
        <w:br w:type="page"/>
      </w:r>
    </w:p>
    <w:p>
      <w:pPr>
        <w:pStyle w:val="Heading1"/>
        <w:spacing w:before="360" w:after="160"/>
        <w:jc w:val="right"/>
        <w:keepNext/>
        <w:bidi w:val="1"/>
        <w:pBdr>
          <w:bottom w:val="single" w:sz="12" w:space="6" w:color="B91C1C"/>
        </w:pBdr>
      </w:pPr>
      <w:r>
        <w:rPr>
          <w:rFonts w:ascii="Times New Roman" w:hAnsi="Times New Roman"/>
          <w:b/>
          <w:color w:val="1A1A2E"/>
          <w:sz w:val="44"/>
          <w:rtl w:val="1"/>
        </w:rPr>
        <w:t>10. الخاتمة</w:t>
      </w:r>
    </w:p>
    <w:p>
      <w:pPr>
        <w:spacing w:after="160" w:line="276" w:lineRule="auto"/>
        <w:jc w:val="right"/>
        <w:bidi w:val="1"/>
      </w:pPr>
      <w:r>
        <w:rPr>
          <w:rFonts w:ascii="Times New Roman" w:hAnsi="Times New Roman"/>
          <w:color w:val="1A1A2E"/>
          <w:sz w:val="22"/>
          <w:rtl w:val="1"/>
        </w:rPr>
        <w:t>خلصت هذه المداخلة إلى أن السؤال «هل توجد معلومات ودراسات حول الذكاء الاصطناعي ولغة الإشارة الجزائرية؟» يستحق جواباً إيجابياً مشروطاً: نعم، توجد — وتتزايد بوتيرة لافتة منذ 2023 — مدوّناتٌ وأنظمةٌ وأوراقٌ علميةٌ جزائرية رائدة (Alabib-65، ALGSL89، VDzSL، أنظمة التعرف اللحظي والتطبيقات الصحية، ومشروع الترجمة بالشخصية الافتراضية ثلاثية الأبعاد)، لكنها تظل محدودة الحجم، معزولة المبادرات، شبه منفصلة عن المرجعية اللغوية الوطنية وعن مجتمع الصم، ومركّزة على الإشارات المعزولة دون التواصل المتصل. كما بينت أن المعرفة التقنية اللازمة أصبحت متاحةً عالمياً ومفتوحةً جزئياً، وأن العائق الجوهري لم يعد تقنياً في جوهره، بل لغوي-منهجي-مؤسسي: غيابُ بنيةٍ تحتية لغوية رقمية منسقة، وغيابُ إشراكٍ منهجي لمجتمع الصم، وغيابُ تمويلٍ مستدام.</w:t>
      </w:r>
    </w:p>
    <w:p>
      <w:pPr>
        <w:spacing w:after="160" w:line="276" w:lineRule="auto"/>
        <w:jc w:val="right"/>
        <w:bidi w:val="1"/>
      </w:pPr>
      <w:r>
        <w:rPr>
          <w:rFonts w:ascii="Times New Roman" w:hAnsi="Times New Roman"/>
          <w:color w:val="1A1A2E"/>
          <w:sz w:val="22"/>
          <w:rtl w:val="1"/>
        </w:rPr>
        <w:t>وعليه، فإن الرهان الحقيقي ليس في «تطويع» لغة الإشارة الجزائرية للذكاء الاصطناعي، بل في توظيف الذكاء الاصطناعي في خدمة هذه اللغة وحقوق ناطقيها، وفق مقاربة تضع اللغة والهوية الثقافية للصم في المركز، وتجعل من التقنية وسيلةً للإتاحة والتوثيق والتعليم لا بديلاً عن الفاعلين البشريين. وتفتح هذه المقاربة آفاقاً بحثيةً واعدةً أمام الباحثين الجزائريين: نماذج توليدية متعددة الوسائط للترجمة الجزائرية (نصّ ← إشارة ← نص)، وتطوير أدوات تعليمية ذكية لأطفال الصم بلغتهم الأم، وبناء أنظمة تعرفٍ متصلة على الكلام المستمر، فضلاً عن مشاريع الإتاحة الرقمية للخدمات العمومية. ويبقى الضمانة الكبرى لنجاح هذه الآفاق كلها: شراكةً حقيقيةً متكافئةً مع الصم الجزائريين، في المعرفة والملكية والقرار؛ لأن لغتهم ليست موضوعاً تقنياً، بل أمانةً ثقافية وحقاً لغوياً لا يملك أحدٌ تمثيله نيابةً عنهم.</w:t>
      </w:r>
    </w:p>
    <w:p>
      <w:pPr>
        <w:pStyle w:val="Heading1"/>
        <w:spacing w:before="360" w:after="160"/>
        <w:jc w:val="right"/>
        <w:keepNext/>
        <w:bidi w:val="1"/>
        <w:pBdr>
          <w:bottom w:val="single" w:sz="12" w:space="6" w:color="B91C1C"/>
        </w:pBdr>
      </w:pPr>
      <w:r>
        <w:rPr>
          <w:rFonts w:ascii="Times New Roman" w:hAnsi="Times New Roman"/>
          <w:b/>
          <w:color w:val="1A1A2E"/>
          <w:sz w:val="44"/>
          <w:rtl w:val="1"/>
        </w:rPr>
        <w:t>قائمة المراجع</w:t>
      </w:r>
    </w:p>
    <w:p>
      <w:pPr>
        <w:pStyle w:val="Heading2"/>
        <w:spacing w:before="240" w:after="80"/>
        <w:jc w:val="right"/>
        <w:bidi w:val="1"/>
        <w:pBdr>
          <w:bottom w:val="single" w:sz="6" w:space="3" w:color="16213E"/>
        </w:pBdr>
      </w:pPr>
      <w:r>
        <w:rPr>
          <w:rFonts w:ascii="Times New Roman" w:hAnsi="Times New Roman"/>
          <w:b/>
          <w:color w:val="16213E"/>
          <w:sz w:val="30"/>
          <w:rtl w:val="1"/>
        </w:rPr>
        <w:t>أولاً: المراجع الأجنبية</w:t>
      </w:r>
    </w:p>
    <w:p>
      <w:pPr>
        <w:spacing w:after="60"/>
        <w:ind w:left="504" w:hanging="259"/>
      </w:pPr>
      <w:r>
        <w:rPr>
          <w:rFonts w:ascii="Times New Roman" w:hAnsi="Times New Roman"/>
          <w:color w:val="B91C1C"/>
          <w:sz w:val="22"/>
        </w:rPr>
        <w:t xml:space="preserve">1.  </w:t>
      </w:r>
      <w:r>
        <w:rPr>
          <w:rFonts w:ascii="Times New Roman" w:hAnsi="Times New Roman"/>
          <w:color w:val="1A1A2E"/>
          <w:sz w:val="22"/>
        </w:rPr>
        <w:t>Algethami, N., Farhud, R., Alghamdi, M., Almutairi, H., Sorani, M., &amp; Aleisa, N. (2025). Continuous Arabic Sign Language Recognition Models. Sensors, 25(9), 2916. https://doi.org/10.3390/s25092916</w:t>
      </w:r>
    </w:p>
    <w:p>
      <w:pPr>
        <w:spacing w:after="60"/>
        <w:ind w:left="504" w:hanging="259"/>
      </w:pPr>
      <w:r>
        <w:rPr>
          <w:rFonts w:ascii="Times New Roman" w:hAnsi="Times New Roman"/>
          <w:color w:val="B91C1C"/>
          <w:sz w:val="22"/>
        </w:rPr>
        <w:t xml:space="preserve">2.  </w:t>
      </w:r>
      <w:r>
        <w:rPr>
          <w:rFonts w:ascii="Times New Roman" w:hAnsi="Times New Roman"/>
          <w:color w:val="1A1A2E"/>
          <w:sz w:val="22"/>
        </w:rPr>
        <w:t>Bellil, L., Ghiri, M. G., &amp; Boulesnane, A. (2024). Empowering Deaf Community in Healthcare Communication: 1D-CNN-Based Algerian Sign Language Recognition System. 2024 6th International Conference on Pattern Analysis and Intelligent Systems (PAIS). IEEE. https://doi.org/10.1109/PAIS62114.2024.10541233</w:t>
      </w:r>
    </w:p>
    <w:p>
      <w:pPr>
        <w:spacing w:after="60"/>
        <w:ind w:left="504" w:hanging="259"/>
      </w:pPr>
      <w:r>
        <w:rPr>
          <w:rFonts w:ascii="Times New Roman" w:hAnsi="Times New Roman"/>
          <w:color w:val="B91C1C"/>
          <w:sz w:val="22"/>
        </w:rPr>
        <w:t xml:space="preserve">3.  </w:t>
      </w:r>
      <w:r>
        <w:rPr>
          <w:rFonts w:ascii="Times New Roman" w:hAnsi="Times New Roman"/>
          <w:color w:val="1A1A2E"/>
          <w:sz w:val="22"/>
        </w:rPr>
        <w:t>Blasi, D. E., Anastasopoulos, A., &amp; Neubig, G. (2022). Systematic Inequalities in Language Technology Performance across the World’s Languages. Proceedings of ACL 2022. https://doi.org/10.18653/v1/2022.acl-long.376</w:t>
      </w:r>
    </w:p>
    <w:p>
      <w:pPr>
        <w:spacing w:after="60"/>
        <w:ind w:left="504" w:hanging="259"/>
      </w:pPr>
      <w:r>
        <w:rPr>
          <w:rFonts w:ascii="Times New Roman" w:hAnsi="Times New Roman"/>
          <w:color w:val="B91C1C"/>
          <w:sz w:val="22"/>
        </w:rPr>
        <w:t xml:space="preserve">4.  </w:t>
      </w:r>
      <w:r>
        <w:rPr>
          <w:rFonts w:ascii="Times New Roman" w:hAnsi="Times New Roman"/>
          <w:color w:val="1A1A2E"/>
          <w:sz w:val="22"/>
        </w:rPr>
        <w:t>Kheldoun, A., Kouar, I., &amp; Kouar, E. B. (2023). ALGSL89: An Algerian Sign Language Dataset. Uluslararası Yönetim Bilişim Sistemleri ve Bilgisayar Bilimleri Dergisi, 7(2). https://doi.org/10.33461/uybisbbd.1339892</w:t>
      </w:r>
    </w:p>
    <w:p>
      <w:pPr>
        <w:spacing w:after="60"/>
        <w:ind w:left="504" w:hanging="259"/>
      </w:pPr>
      <w:r>
        <w:rPr>
          <w:rFonts w:ascii="Times New Roman" w:hAnsi="Times New Roman"/>
          <w:color w:val="B91C1C"/>
          <w:sz w:val="22"/>
        </w:rPr>
        <w:t xml:space="preserve">5.  </w:t>
      </w:r>
      <w:r>
        <w:rPr>
          <w:rFonts w:ascii="Times New Roman" w:hAnsi="Times New Roman"/>
          <w:color w:val="1A1A2E"/>
          <w:sz w:val="22"/>
        </w:rPr>
        <w:t>Khellas, K., &amp; Seghir, R. (2023). Alabib-65: A Realistic Dataset for Algerian Sign Language Recognition. ACM Transactions on Asian and Low-Resource Language Information Processing. https://doi.org/10.1145/3596909</w:t>
      </w:r>
    </w:p>
    <w:p>
      <w:pPr>
        <w:spacing w:after="60"/>
        <w:ind w:left="504" w:hanging="259"/>
      </w:pPr>
      <w:r>
        <w:rPr>
          <w:rFonts w:ascii="Times New Roman" w:hAnsi="Times New Roman"/>
          <w:color w:val="B91C1C"/>
          <w:sz w:val="22"/>
        </w:rPr>
        <w:t xml:space="preserve">6.  </w:t>
      </w:r>
      <w:r>
        <w:rPr>
          <w:rFonts w:ascii="Times New Roman" w:hAnsi="Times New Roman"/>
          <w:color w:val="1A1A2E"/>
          <w:sz w:val="22"/>
        </w:rPr>
        <w:t>Ouargani, Y., &amp; El Khattabi, N. (2026). VDzSL: A Synthetic Video Dataset for Algerian Sign Language Using 3D Avatars. Data in Brief, 65, 112551. https://doi.org/10.1016/j.dib.2026.112551</w:t>
      </w:r>
    </w:p>
    <w:p>
      <w:pPr>
        <w:spacing w:after="60"/>
        <w:ind w:left="504" w:hanging="259"/>
      </w:pPr>
      <w:r>
        <w:rPr>
          <w:rFonts w:ascii="Times New Roman" w:hAnsi="Times New Roman"/>
          <w:color w:val="B91C1C"/>
          <w:sz w:val="22"/>
        </w:rPr>
        <w:t xml:space="preserve">7.  </w:t>
      </w:r>
      <w:r>
        <w:rPr>
          <w:rFonts w:ascii="Times New Roman" w:hAnsi="Times New Roman"/>
          <w:color w:val="1A1A2E"/>
          <w:sz w:val="22"/>
        </w:rPr>
        <w:t>Sandler, W., &amp; Lillo-Martin, D. (2006). Sign Language and Linguistic Universals. Cambridge University Press.</w:t>
      </w:r>
    </w:p>
    <w:p>
      <w:pPr>
        <w:spacing w:after="60"/>
        <w:ind w:left="504" w:hanging="259"/>
      </w:pPr>
      <w:r>
        <w:rPr>
          <w:rFonts w:ascii="Times New Roman" w:hAnsi="Times New Roman"/>
          <w:color w:val="B91C1C"/>
          <w:sz w:val="22"/>
        </w:rPr>
        <w:t xml:space="preserve">8.  </w:t>
      </w:r>
      <w:r>
        <w:rPr>
          <w:rFonts w:ascii="Times New Roman" w:hAnsi="Times New Roman"/>
          <w:color w:val="1A1A2E"/>
          <w:sz w:val="22"/>
        </w:rPr>
        <w:t>United Nations (2006). Convention on the Rights of Persons with Disabilities. Adopted 13 December 2006; Algeria signed 30 March 2007 and ratified 4 December 2009.</w:t>
      </w:r>
    </w:p>
    <w:p>
      <w:pPr>
        <w:spacing w:after="60"/>
        <w:ind w:left="504" w:hanging="259"/>
      </w:pPr>
      <w:r>
        <w:rPr>
          <w:rFonts w:ascii="Times New Roman" w:hAnsi="Times New Roman"/>
          <w:color w:val="B91C1C"/>
          <w:sz w:val="22"/>
        </w:rPr>
        <w:t xml:space="preserve">9.  </w:t>
      </w:r>
      <w:r>
        <w:rPr>
          <w:rFonts w:ascii="Times New Roman" w:hAnsi="Times New Roman"/>
          <w:color w:val="1A1A2E"/>
          <w:sz w:val="22"/>
        </w:rPr>
        <w:t>United Nations (2017). Resolution 72/161: International Day of Sign Languages (23 September).</w:t>
      </w:r>
    </w:p>
    <w:p>
      <w:pPr>
        <w:spacing w:after="60"/>
        <w:ind w:left="504" w:hanging="259"/>
      </w:pPr>
      <w:r>
        <w:rPr>
          <w:rFonts w:ascii="Times New Roman" w:hAnsi="Times New Roman"/>
          <w:color w:val="B91C1C"/>
          <w:sz w:val="22"/>
        </w:rPr>
        <w:t xml:space="preserve">10.  </w:t>
      </w:r>
      <w:r>
        <w:rPr>
          <w:rFonts w:ascii="Times New Roman" w:hAnsi="Times New Roman"/>
          <w:color w:val="1A1A2E"/>
          <w:sz w:val="22"/>
        </w:rPr>
        <w:t>World Federation of the Deaf (2021). WFD Facts and Figures on Deaf People and Sign Languages.</w:t>
      </w:r>
    </w:p>
    <w:p>
      <w:pPr>
        <w:spacing w:after="60"/>
        <w:ind w:left="504" w:hanging="259"/>
      </w:pPr>
      <w:r>
        <w:rPr>
          <w:rFonts w:ascii="Times New Roman" w:hAnsi="Times New Roman"/>
          <w:color w:val="B91C1C"/>
          <w:sz w:val="22"/>
        </w:rPr>
        <w:t xml:space="preserve">11.  </w:t>
      </w:r>
      <w:r>
        <w:rPr>
          <w:rFonts w:ascii="Times New Roman" w:hAnsi="Times New Roman"/>
          <w:color w:val="1A1A2E"/>
          <w:sz w:val="22"/>
        </w:rPr>
        <w:t>Zerrouki, T., Slimani, M. F., Mami, A., &amp; Mazari, R. (2025). 3DZSignDB: 3D avatar SigML data for Algerian sign language. Data in Brief, 60, 111568. https://doi.org/10.1016/j.dib.2025.111568</w:t>
      </w:r>
    </w:p>
    <w:p>
      <w:pPr>
        <w:spacing w:after="60"/>
        <w:ind w:left="504" w:hanging="259"/>
      </w:pPr>
      <w:r>
        <w:rPr>
          <w:rFonts w:ascii="Times New Roman" w:hAnsi="Times New Roman"/>
          <w:color w:val="B91C1C"/>
          <w:sz w:val="22"/>
        </w:rPr>
        <w:t xml:space="preserve">12.  </w:t>
      </w:r>
      <w:r>
        <w:rPr>
          <w:rFonts w:ascii="Times New Roman" w:hAnsi="Times New Roman"/>
          <w:color w:val="1A1A2E"/>
          <w:sz w:val="22"/>
        </w:rPr>
        <w:t>Kheldoun, A., Kouar, I., &amp; Kouar, E. B. (2024). Real time system based deep learning for recognizing Algerian sign language. International Journal of Computing and Digital Systems, 15(1), 713–722. https://doi.org/10.12785/ijcds/150152</w:t>
      </w:r>
    </w:p>
    <w:p>
      <w:pPr>
        <w:pStyle w:val="Heading2"/>
        <w:spacing w:before="240" w:after="80"/>
        <w:jc w:val="right"/>
        <w:bidi w:val="1"/>
        <w:pBdr>
          <w:bottom w:val="single" w:sz="6" w:space="3" w:color="16213E"/>
        </w:pBdr>
      </w:pPr>
      <w:r>
        <w:rPr>
          <w:rFonts w:ascii="Times New Roman" w:hAnsi="Times New Roman"/>
          <w:b/>
          <w:color w:val="16213E"/>
          <w:sz w:val="30"/>
          <w:rtl w:val="1"/>
        </w:rPr>
        <w:t>ثانياً: المصادر العربية والإلكترونية</w:t>
      </w:r>
    </w:p>
    <w:p>
      <w:pPr>
        <w:spacing w:after="60"/>
        <w:ind w:right="504"/>
        <w:jc w:val="right"/>
        <w:bidi w:val="1"/>
      </w:pPr>
      <w:r>
        <w:rPr>
          <w:rFonts w:ascii="Times New Roman" w:hAnsi="Times New Roman"/>
          <w:color w:val="1A1A2E"/>
          <w:sz w:val="22"/>
          <w:rtl w:val="1"/>
        </w:rPr>
        <w:t>مامي، أمين؛ سليماني، محمد الفارس؛ زروقي، طه؛ مزاري، رضا (2025). نظام ترجمة لغة الإشارة العربية الجزائرية باستخدام تكنولوجيا الشخصية الافتراضية ثلاثية الأبعاد. دورية نفاذ، العدد 28، مركز مدى للتكنولوجيا المساعدة والإتاحة الرقمية (قطر).</w:t>
      </w:r>
      <w:r>
        <w:rPr>
          <w:rFonts w:ascii="Times New Roman" w:hAnsi="Times New Roman"/>
          <w:color w:val="B91C1C"/>
          <w:sz w:val="22"/>
        </w:rPr>
        <w:t xml:space="preserve">  1.</w:t>
      </w:r>
    </w:p>
    <w:p>
      <w:pPr>
        <w:spacing w:after="60"/>
        <w:ind w:right="504"/>
        <w:jc w:val="right"/>
        <w:bidi w:val="1"/>
      </w:pPr>
      <w:r>
        <w:rPr>
          <w:rFonts w:ascii="Times New Roman" w:hAnsi="Times New Roman"/>
          <w:color w:val="1A1A2E"/>
          <w:sz w:val="22"/>
          <w:rtl w:val="1"/>
        </w:rPr>
        <w:t>جريدة النصر (2015). «استغرق أكثر من ثماني سنوات لإعداده: قاموس جزائري للصم يحمل أكثر من 1600 إشارة موحدة». عدد 3 نوفمبر 2015.</w:t>
      </w:r>
      <w:r>
        <w:rPr>
          <w:rFonts w:ascii="Times New Roman" w:hAnsi="Times New Roman"/>
          <w:color w:val="B91C1C"/>
          <w:sz w:val="22"/>
        </w:rPr>
        <w:t xml:space="preserve">  2.</w:t>
      </w:r>
    </w:p>
    <w:p>
      <w:pPr>
        <w:spacing w:after="60"/>
        <w:ind w:right="504"/>
        <w:jc w:val="right"/>
        <w:bidi w:val="1"/>
      </w:pPr>
      <w:r>
        <w:rPr>
          <w:rFonts w:ascii="Times New Roman" w:hAnsi="Times New Roman"/>
          <w:color w:val="1A1A2E"/>
          <w:sz w:val="22"/>
          <w:rtl w:val="1"/>
        </w:rPr>
        <w:t>اندبندنت عربية (2023). «الصم والبكم في العالم العربي... إشارات مبعثرة وحقوق تائهة». تحقيق، 10 يناير 2023.</w:t>
      </w:r>
      <w:r>
        <w:rPr>
          <w:rFonts w:ascii="Times New Roman" w:hAnsi="Times New Roman"/>
          <w:color w:val="B91C1C"/>
          <w:sz w:val="22"/>
        </w:rPr>
        <w:t xml:space="preserve">  3.</w:t>
      </w:r>
    </w:p>
    <w:p>
      <w:pPr>
        <w:spacing w:after="60"/>
        <w:ind w:right="504"/>
        <w:jc w:val="right"/>
        <w:bidi w:val="1"/>
      </w:pPr>
      <w:r>
        <w:rPr>
          <w:rFonts w:ascii="Times New Roman" w:hAnsi="Times New Roman"/>
          <w:color w:val="1A1A2E"/>
          <w:sz w:val="22"/>
          <w:rtl w:val="1"/>
        </w:rPr>
        <w:t>الإذاعة الجزائرية (2019). دعوة وزير التعليم العالي والبحث العلمي إلى إعداد استراتيجية وطنية للذكاء الاصطناعي، 7 ديسمبر 2019.</w:t>
      </w:r>
      <w:r>
        <w:rPr>
          <w:rFonts w:ascii="Times New Roman" w:hAnsi="Times New Roman"/>
          <w:color w:val="B91C1C"/>
          <w:sz w:val="22"/>
        </w:rPr>
        <w:t xml:space="preserve">  4.</w:t>
      </w:r>
    </w:p>
    <w:p>
      <w:pPr>
        <w:spacing w:after="60"/>
        <w:ind w:right="504"/>
        <w:jc w:val="right"/>
        <w:bidi w:val="1"/>
      </w:pPr>
      <w:r>
        <w:rPr>
          <w:rFonts w:ascii="Times New Roman" w:hAnsi="Times New Roman"/>
          <w:color w:val="1A1A2E"/>
          <w:sz w:val="22"/>
          <w:rtl w:val="1"/>
        </w:rPr>
        <w:t>جريدة النصر (2026). حوار مع المنسقة الوطنية لدور الذكاء الاصطناعي: واقع الذكاء الاصطناعي في الجامعة الجزائرية والاستراتيجية الوطنية (المدرسة العليا للذكاء الاصطناعي وبيوت الذكاء الاصطناعي). عدد 11 يوليو 2026.</w:t>
      </w:r>
      <w:r>
        <w:rPr>
          <w:rFonts w:ascii="Times New Roman" w:hAnsi="Times New Roman"/>
          <w:color w:val="B91C1C"/>
          <w:sz w:val="22"/>
        </w:rPr>
        <w:t xml:space="preserve">  5.</w:t>
      </w:r>
    </w:p>
    <w:p>
      <w:pPr>
        <w:spacing w:after="60"/>
        <w:ind w:right="504"/>
        <w:jc w:val="right"/>
        <w:bidi w:val="1"/>
      </w:pPr>
      <w:r>
        <w:rPr>
          <w:rFonts w:ascii="Times New Roman" w:hAnsi="Times New Roman"/>
          <w:color w:val="1A1A2E"/>
          <w:sz w:val="22"/>
          <w:rtl w:val="1"/>
        </w:rPr>
        <w:t>باركي، محمد (2025). تطبيق BarkiASL: قاموس لغة الإشارات الجزائرية [تطبيق أندرويد]. متجر Google Play، آخر تحديث 19 أفريل 2025. https://play.google.com/store/apps/details?id=com.mohamed.barki.asl</w:t>
      </w:r>
      <w:r>
        <w:rPr>
          <w:rFonts w:ascii="Times New Roman" w:hAnsi="Times New Roman"/>
          <w:color w:val="B91C1C"/>
          <w:sz w:val="22"/>
        </w:rPr>
        <w:t xml:space="preserve">  6.</w:t>
      </w:r>
    </w:p>
    <w:p>
      <w:pPr>
        <w:spacing w:after="60"/>
        <w:ind w:right="504"/>
        <w:jc w:val="right"/>
        <w:bidi w:val="1"/>
      </w:pPr>
      <w:r>
        <w:rPr>
          <w:rFonts w:ascii="Times New Roman" w:hAnsi="Times New Roman"/>
          <w:color w:val="1A1A2E"/>
          <w:sz w:val="22"/>
          <w:rtl w:val="1"/>
        </w:rPr>
        <w:t>وزارة التعليم العالي والبحث العلمي، الجزائر (2022). انطلاق الدروس بالمدرسة العليا لأساتذة الصم-البكم (بني مسوس، الجزائر العاصمة). https://www.mesrs.dz/2022/10/demarrage-cours-ens-sourds-muets-ar/</w:t>
      </w:r>
      <w:r>
        <w:rPr>
          <w:rFonts w:ascii="Times New Roman" w:hAnsi="Times New Roman"/>
          <w:color w:val="B91C1C"/>
          <w:sz w:val="22"/>
        </w:rPr>
        <w:t xml:space="preserve">  7.</w:t>
      </w:r>
    </w:p>
    <w:tbl>
      <w:tblPr>
        <w:tblW w:type="auto" w:w="0"/>
        <w:tblLook w:firstColumn="1" w:firstRow="1" w:lastColumn="0" w:lastRow="0" w:noHBand="0" w:noVBand="1" w:val="04A0"/>
      </w:tblPr>
      <w:tblGrid>
        <w:gridCol w:w="8640"/>
      </w:tblGrid>
      <w:tr>
        <w:tc>
          <w:tcPr>
            <w:tcW w:type="dxa" w:w="8640"/>
            <w:shd w:val="clear" w:color="auto" w:fill="FFFBEB"/>
            <w:tcBorders>
              <w:top w:val="single" w:sz="4" w:space="0" w:color="FFFBEB"/>
              <w:left w:val="single" w:sz="24" w:space="0" w:color="D97706"/>
              <w:bottom w:val="single" w:sz="4" w:space="0" w:color="FFFBEB"/>
              <w:right w:val="single" w:sz="4" w:space="0" w:color="FFFBEB"/>
            </w:tcBorders>
          </w:tcPr>
          <w:p>
            <w:pPr>
              <w:spacing w:before="120" w:after="120"/>
              <w:jc w:val="right"/>
              <w:bidi w:val="1"/>
            </w:pPr>
            <w:r>
              <w:rPr>
                <w:rFonts w:ascii="Times New Roman" w:hAnsi="Times New Roman"/>
                <w:b/>
                <w:color w:val="D97706"/>
                <w:sz w:val="18"/>
              </w:rPr>
              <w:t xml:space="preserve">WARNING  </w:t>
            </w:r>
            <w:r>
              <w:rPr>
                <w:rFonts w:ascii="Times New Roman" w:hAnsi="Times New Roman"/>
                <w:color w:val="1A1A2E"/>
                <w:sz w:val="20"/>
                <w:rtl w:val="1"/>
              </w:rPr>
              <w:t>تنبيه منهجي: تُعدّ قائمة المراجع أعلاه أوليةً، جمعت آلياً من مصادر موثوقة ومتحققٍ من بياناتها الأساسية (DOI/ISSN/رابط) وقت إعداد المداخلة. يُستحسن، قبل التقديم النهائي، تدقيقُها واستكمالُها وفق دليل النشر المعتمد من الجهة المنظمة، وإضافةُ الأعمال الجزائرية المحلية غير المفهرسة (مذكرات جامعية، أعمال ملتقيات، تقارير وزارية) التي قد يضيفها الباحث من سياقه المؤسسي المباشر.</w:t>
            </w:r>
          </w:p>
        </w:tc>
      </w:tr>
    </w:tbl>
    <w:p>
      <w:pPr>
        <w:spacing w:after="80"/>
      </w:pPr>
    </w:p>
    <w:sectPr w:rsidR="00FC693F" w:rsidRPr="0006063C" w:rsidSect="00034616">
      <w:headerReference w:type="default" r:id="rId9"/>
      <w:headerReference w:type="first" r:id="rId10"/>
      <w:footerReference w:type="default" r:id="rId11"/>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6" w:space="4" w:color="B91C1C"/>
      </w:pBdr>
    </w:pPr>
    <w:r>
      <w:rPr>
        <w:rFonts w:ascii="Times New Roman" w:hAnsi="Times New Roman"/>
        <w:color w:val="16213E"/>
        <w:sz w:val="18"/>
      </w:rPr>
      <w:t xml:space="preserve">Page </w:t>
    </w:r>
    <w:r>
      <w:rPr>
        <w:rFonts w:ascii="Times New Roman" w:hAnsi="Times New Roman"/>
        <w:color w:val="16213E"/>
        <w:sz w:val="18"/>
      </w:rPr>
      <w:fldChar w:fldCharType="begin"/>
      <w:instrText>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B91C1C"/>
      </w:pBdr>
    </w:pPr>
    <w:r>
      <w:rPr>
        <w:rFonts w:ascii="Times New Roman" w:hAnsi="Times New Roman"/>
        <w:color w:val="16213E"/>
        <w:sz w:val="16"/>
      </w:rPr>
      <w:t>الذكاء الاصطناعي ولغة الإشارة الجزائرية: نحو نمذجة حاسوبية للغة منخفض…</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